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716F" w:rsidRPr="002D716F" w:rsidRDefault="002D716F" w:rsidP="002D716F">
      <w:pPr>
        <w:jc w:val="center"/>
      </w:pPr>
      <w:r w:rsidRPr="002D716F">
        <w:t>SYLLABUS</w:t>
      </w:r>
    </w:p>
    <w:p w:rsidR="002D716F" w:rsidRPr="002D716F" w:rsidRDefault="002D716F" w:rsidP="002D716F">
      <w:pPr>
        <w:jc w:val="center"/>
        <w:rPr>
          <w:b/>
        </w:rPr>
      </w:pPr>
    </w:p>
    <w:p w:rsidR="002D716F" w:rsidRPr="002D716F" w:rsidRDefault="002D716F" w:rsidP="002D716F">
      <w:pPr>
        <w:jc w:val="center"/>
        <w:rPr>
          <w:b/>
        </w:rPr>
      </w:pPr>
      <w:r w:rsidRPr="002D716F">
        <w:rPr>
          <w:b/>
        </w:rPr>
        <w:t>CLIMATE CHANGE LAW</w:t>
      </w:r>
      <w:r w:rsidR="0031598B">
        <w:rPr>
          <w:b/>
        </w:rPr>
        <w:t xml:space="preserve"> AND POLICY</w:t>
      </w:r>
    </w:p>
    <w:p w:rsidR="002D716F" w:rsidRPr="002D716F" w:rsidRDefault="002D716F" w:rsidP="002D716F">
      <w:pPr>
        <w:jc w:val="center"/>
        <w:rPr>
          <w:b/>
        </w:rPr>
      </w:pPr>
    </w:p>
    <w:p w:rsidR="002D716F" w:rsidRPr="002D716F" w:rsidRDefault="002D716F" w:rsidP="002D716F">
      <w:pPr>
        <w:jc w:val="center"/>
        <w:rPr>
          <w:b/>
        </w:rPr>
      </w:pPr>
      <w:r w:rsidRPr="002D716F">
        <w:rPr>
          <w:b/>
        </w:rPr>
        <w:t>Columbia Law School</w:t>
      </w:r>
    </w:p>
    <w:p w:rsidR="002D716F" w:rsidRPr="002D716F" w:rsidRDefault="002D716F" w:rsidP="002D716F">
      <w:pPr>
        <w:jc w:val="center"/>
        <w:rPr>
          <w:b/>
        </w:rPr>
      </w:pPr>
    </w:p>
    <w:p w:rsidR="002D716F" w:rsidRPr="002D716F" w:rsidRDefault="002D716F" w:rsidP="002D716F">
      <w:pPr>
        <w:jc w:val="center"/>
        <w:rPr>
          <w:b/>
        </w:rPr>
      </w:pPr>
      <w:r w:rsidRPr="002D716F">
        <w:rPr>
          <w:b/>
        </w:rPr>
        <w:t>L6038</w:t>
      </w:r>
    </w:p>
    <w:p w:rsidR="002D716F" w:rsidRPr="002D716F" w:rsidRDefault="002D716F" w:rsidP="002D716F">
      <w:pPr>
        <w:jc w:val="center"/>
        <w:rPr>
          <w:b/>
        </w:rPr>
      </w:pPr>
    </w:p>
    <w:p w:rsidR="002D716F" w:rsidRPr="002D716F" w:rsidRDefault="002D716F" w:rsidP="002D716F">
      <w:pPr>
        <w:jc w:val="center"/>
        <w:rPr>
          <w:b/>
        </w:rPr>
      </w:pPr>
      <w:r w:rsidRPr="002D716F">
        <w:rPr>
          <w:b/>
        </w:rPr>
        <w:t xml:space="preserve">Spring </w:t>
      </w:r>
      <w:r w:rsidR="000D7C17">
        <w:rPr>
          <w:b/>
        </w:rPr>
        <w:t>2020</w:t>
      </w:r>
    </w:p>
    <w:p w:rsidR="002D716F" w:rsidRPr="002D716F" w:rsidRDefault="002D716F" w:rsidP="002D716F">
      <w:pPr>
        <w:jc w:val="center"/>
        <w:rPr>
          <w:b/>
        </w:rPr>
      </w:pPr>
    </w:p>
    <w:p w:rsidR="002D716F" w:rsidRPr="002D716F" w:rsidRDefault="002D716F" w:rsidP="002D716F">
      <w:pPr>
        <w:jc w:val="center"/>
        <w:rPr>
          <w:b/>
        </w:rPr>
      </w:pPr>
      <w:r w:rsidRPr="002D716F">
        <w:rPr>
          <w:b/>
        </w:rPr>
        <w:t>Professor Michael B. Gerrard</w:t>
      </w:r>
    </w:p>
    <w:p w:rsidR="002D716F" w:rsidRPr="002D716F" w:rsidRDefault="002D716F" w:rsidP="002D716F"/>
    <w:p w:rsidR="002D716F" w:rsidRPr="002D716F" w:rsidRDefault="002D716F" w:rsidP="002D716F"/>
    <w:p w:rsidR="005873B0" w:rsidRDefault="002D716F" w:rsidP="002D716F">
      <w:r w:rsidRPr="002D716F">
        <w:t xml:space="preserve">Class hours: </w:t>
      </w:r>
      <w:r w:rsidR="0031598B">
        <w:t>Tuesday and Thursday, 9:10 a.m. - 10:30 a.m.</w:t>
      </w:r>
    </w:p>
    <w:p w:rsidR="002D716F" w:rsidRDefault="002D716F" w:rsidP="002D716F"/>
    <w:p w:rsidR="00CD279F" w:rsidRPr="002D716F" w:rsidRDefault="009377C6" w:rsidP="002D716F">
      <w:r>
        <w:t>William and June Warren Hall Room L107</w:t>
      </w:r>
    </w:p>
    <w:p w:rsidR="002D716F" w:rsidRPr="002D716F" w:rsidRDefault="002D716F" w:rsidP="002D716F"/>
    <w:p w:rsidR="002D716F" w:rsidRPr="002D716F" w:rsidRDefault="002D716F" w:rsidP="002D716F">
      <w:r w:rsidRPr="002D716F">
        <w:t xml:space="preserve">Instructor’s office: </w:t>
      </w:r>
      <w:r w:rsidR="00CD279F">
        <w:t>Jerome Greene Hall Room</w:t>
      </w:r>
      <w:r w:rsidRPr="002D716F">
        <w:t xml:space="preserve"> </w:t>
      </w:r>
      <w:r w:rsidR="0031598B">
        <w:t>525</w:t>
      </w:r>
    </w:p>
    <w:p w:rsidR="002D716F" w:rsidRPr="002D716F" w:rsidRDefault="002D716F" w:rsidP="002D716F">
      <w:r w:rsidRPr="002D716F">
        <w:t xml:space="preserve">Office hours: </w:t>
      </w:r>
      <w:r w:rsidR="0031598B">
        <w:t>Tuesday and Thursday, 10:45 am - noon</w:t>
      </w:r>
      <w:r w:rsidR="00FF1FEA">
        <w:t xml:space="preserve"> </w:t>
      </w:r>
      <w:r w:rsidRPr="002D716F">
        <w:t>or by appointment</w:t>
      </w:r>
    </w:p>
    <w:p w:rsidR="002D716F" w:rsidRDefault="002D716F" w:rsidP="002D716F">
      <w:r w:rsidRPr="002D716F">
        <w:t>Contact michael.gerrard@law.columbia.edu for appointment</w:t>
      </w:r>
    </w:p>
    <w:p w:rsidR="00BA5EE3" w:rsidRPr="002D716F" w:rsidRDefault="00BA5EE3" w:rsidP="002D716F">
      <w:r>
        <w:t xml:space="preserve">Assistant: Kemi Adetayo, </w:t>
      </w:r>
      <w:hyperlink r:id="rId9" w:history="1">
        <w:r w:rsidRPr="00D90DF3">
          <w:rPr>
            <w:rStyle w:val="Hyperlink"/>
          </w:rPr>
          <w:t>aa3547@columbia.edu</w:t>
        </w:r>
      </w:hyperlink>
      <w:r>
        <w:t>, (212) 854-8213</w:t>
      </w:r>
    </w:p>
    <w:p w:rsidR="002D716F" w:rsidRPr="002D716F" w:rsidRDefault="002D716F" w:rsidP="002D716F"/>
    <w:p w:rsidR="002D716F" w:rsidRPr="002D716F" w:rsidRDefault="002D716F" w:rsidP="002D716F">
      <w:r w:rsidRPr="002D716F">
        <w:rPr>
          <w:b/>
        </w:rPr>
        <w:t>Course description:</w:t>
      </w:r>
    </w:p>
    <w:p w:rsidR="002D716F" w:rsidRPr="002D716F" w:rsidRDefault="002D716F" w:rsidP="002D716F"/>
    <w:p w:rsidR="002D716F" w:rsidRDefault="002D716F" w:rsidP="002D716F">
      <w:r w:rsidRPr="002D716F">
        <w:t>This course begins with an overview of the causes and effects of global climate change and the methods available to control and ad</w:t>
      </w:r>
      <w:r w:rsidR="00EE18F3">
        <w:t>a</w:t>
      </w:r>
      <w:r w:rsidRPr="002D716F">
        <w:t xml:space="preserve">pt to it. We will then examine the negotiation, implementation and current status of the United Nations Framework Convention on Climate Change, the Kyoto Protocol, and </w:t>
      </w:r>
      <w:r w:rsidR="00482FA7">
        <w:t>the Paris Agreement.</w:t>
      </w:r>
      <w:r w:rsidR="0031598B">
        <w:t xml:space="preserve"> </w:t>
      </w:r>
      <w:r w:rsidR="00BA5EE3">
        <w:t xml:space="preserve">In the context of an administration that has expressed skepticism about climate change and </w:t>
      </w:r>
      <w:r w:rsidR="00AA08EA">
        <w:t>is working</w:t>
      </w:r>
      <w:r w:rsidR="00BA5EE3">
        <w:t xml:space="preserve"> to repeal many of the greenhouse gas regulations adopted during the Obama administration, t</w:t>
      </w:r>
      <w:r w:rsidRPr="002D716F">
        <w:t>he focus will then turn to the past and proposed actions of the U.S. Congress, the executive branch and the courts, as well as regional, state and municipal efforts. The Clean Air Act, the National Environmental Policy Act and the Endangered Species Act will receive special attention</w:t>
      </w:r>
      <w:r w:rsidR="00BA5EE3">
        <w:t>, as will the authority of the administration to reverse prior policy, and the legal modes available for resistance.</w:t>
      </w:r>
      <w:r w:rsidRPr="002D716F">
        <w:t xml:space="preserve"> We will evaluate the various legal tools that are available to address climate change, including cap-and-trade schemes; carbon taxation; command-and-control regulation; litigation; </w:t>
      </w:r>
      <w:r w:rsidR="001E01B8">
        <w:t xml:space="preserve">and </w:t>
      </w:r>
      <w:r w:rsidRPr="002D716F">
        <w:t>securities disclosures. The roles of energy efficiency, renewable energy sources, carbon capture and sequestration, and forestry and agriculture will each receive close attention.  Implications for international human rights, international trade, environmental justice, and international and intergenerational equity will be discussed. The course will conclude with examination of proposals for adaptation and geoengineering.</w:t>
      </w:r>
    </w:p>
    <w:p w:rsidR="0031598B" w:rsidRPr="002D716F" w:rsidRDefault="0031598B" w:rsidP="002D716F"/>
    <w:p w:rsidR="002D716F" w:rsidRPr="002D716F" w:rsidRDefault="002D716F" w:rsidP="002D716F">
      <w:r w:rsidRPr="002D716F">
        <w:t xml:space="preserve">The final exam will be open book and will consist of a series of essay questions, most </w:t>
      </w:r>
      <w:r w:rsidR="00AA08EA">
        <w:t>of</w:t>
      </w:r>
      <w:r w:rsidRPr="002D716F">
        <w:t xml:space="preserve"> which will require applying the law covered in the course to specified factual situations. Course grades will be based on the final exam, but they may be adjusted up or down a notch to reflect the quality of class participation. </w:t>
      </w:r>
    </w:p>
    <w:p w:rsidR="002D716F" w:rsidRPr="002D716F" w:rsidRDefault="002D716F" w:rsidP="002D716F"/>
    <w:p w:rsidR="00BA5EE3" w:rsidRDefault="00BA5EE3" w:rsidP="002D716F">
      <w:r>
        <w:t xml:space="preserve">All class sessions will be audio taped, and the tapes will be available to enrolled students to assist them in studying.  </w:t>
      </w:r>
    </w:p>
    <w:p w:rsidR="0013671B" w:rsidRDefault="0013671B" w:rsidP="002D716F"/>
    <w:p w:rsidR="002D716F" w:rsidRPr="002D716F" w:rsidRDefault="002D716F" w:rsidP="002D716F">
      <w:r w:rsidRPr="002D716F">
        <w:t>Columbia University is dedicated to facilitating equal access for students with disabilities and to cultivating a campus culture that is sensitive and responsive to the needs of students. To request an accommodation for a disability during the course, students are welcome to reach out to the Office of Disability Services, to the Academic Counselors in Student Services, or to the instructor.  (In general, students may decide whether or not to inform their professors of any accommodations, as they prefer. But note that individual exam arrangements are generally not discussed with the professor.)</w:t>
      </w:r>
    </w:p>
    <w:p w:rsidR="002D716F" w:rsidRPr="002D716F" w:rsidRDefault="002D716F" w:rsidP="002D716F"/>
    <w:p w:rsidR="002D716F" w:rsidRPr="002D716F" w:rsidRDefault="002D716F" w:rsidP="002D716F">
      <w:pPr>
        <w:rPr>
          <w:b/>
        </w:rPr>
      </w:pPr>
      <w:r w:rsidRPr="002D716F">
        <w:rPr>
          <w:b/>
        </w:rPr>
        <w:t>Readings:</w:t>
      </w:r>
    </w:p>
    <w:p w:rsidR="002D716F" w:rsidRPr="002D716F" w:rsidRDefault="002D716F" w:rsidP="002D716F">
      <w:pPr>
        <w:rPr>
          <w:b/>
        </w:rPr>
      </w:pPr>
    </w:p>
    <w:p w:rsidR="002D716F" w:rsidRDefault="002D716F" w:rsidP="002D716F">
      <w:r w:rsidRPr="002D716F">
        <w:t xml:space="preserve">The principal reading is Michael B. Gerrard &amp; Jody Freeman, </w:t>
      </w:r>
      <w:r w:rsidRPr="002D716F">
        <w:rPr>
          <w:i/>
        </w:rPr>
        <w:t>Global Climate Change and U.S. Law</w:t>
      </w:r>
      <w:r w:rsidRPr="002D716F">
        <w:t xml:space="preserve"> (American Bar Association, 2</w:t>
      </w:r>
      <w:r w:rsidRPr="002D716F">
        <w:rPr>
          <w:vertAlign w:val="superscript"/>
        </w:rPr>
        <w:t>nd</w:t>
      </w:r>
      <w:r w:rsidRPr="002D716F">
        <w:t xml:space="preserve"> Edition, 2014) (“Gerrard &amp; Freeman”). This book </w:t>
      </w:r>
      <w:r w:rsidR="0031598B">
        <w:t xml:space="preserve">is </w:t>
      </w:r>
      <w:r w:rsidRPr="002D716F">
        <w:t>available in the Columbia University Bookstore</w:t>
      </w:r>
      <w:r w:rsidR="00482FA7">
        <w:t xml:space="preserve"> or through Amazon</w:t>
      </w:r>
      <w:r w:rsidRPr="002D716F">
        <w:t xml:space="preserve">. </w:t>
      </w:r>
      <w:r w:rsidR="00FF1FEA">
        <w:t xml:space="preserve"> (The first edition, which appeared in 2007, is not acceptable</w:t>
      </w:r>
      <w:r w:rsidR="0013671B">
        <w:t>.)</w:t>
      </w:r>
    </w:p>
    <w:p w:rsidR="00482FA7" w:rsidRPr="002D716F" w:rsidRDefault="00482FA7" w:rsidP="002D716F"/>
    <w:p w:rsidR="002D716F" w:rsidRDefault="002D716F" w:rsidP="002D716F">
      <w:r w:rsidRPr="002D716F">
        <w:t xml:space="preserve">Additional reading materials will be </w:t>
      </w:r>
      <w:r w:rsidR="0013671B">
        <w:t xml:space="preserve">posted on CourseWorks. </w:t>
      </w:r>
      <w:r w:rsidR="00307341">
        <w:t>URLs are also provided for many of them.  For some of the judicial decisions, the URL is to the docket page on the Sabin Center’s climate litigation charts; for these, be sure to select the proper item (by date).</w:t>
      </w:r>
    </w:p>
    <w:p w:rsidR="002D716F" w:rsidRDefault="002D716F" w:rsidP="002D716F"/>
    <w:p w:rsidR="00482FA7" w:rsidRDefault="00482FA7" w:rsidP="002D716F">
      <w:r>
        <w:t>In some instances the readings below are marked as “Excerpts” or “Skim”. Where page numbers are given to indicate that only certain pages need to be read closely, the page numbers refer to the source material.</w:t>
      </w:r>
    </w:p>
    <w:p w:rsidR="00482FA7" w:rsidRPr="002D716F" w:rsidRDefault="00482FA7" w:rsidP="002D716F"/>
    <w:p w:rsidR="002D716F" w:rsidRPr="002D716F" w:rsidRDefault="002D716F" w:rsidP="002D716F">
      <w:r w:rsidRPr="002D716F">
        <w:t xml:space="preserve">Additional materials may be assigned during the course of the semester, primarily as a result of recent developments.  In that event, they will be posted on </w:t>
      </w:r>
      <w:r w:rsidR="00D75A83">
        <w:t>CourseWorks.</w:t>
      </w:r>
    </w:p>
    <w:p w:rsidR="002D716F" w:rsidRPr="002D716F" w:rsidRDefault="002D716F" w:rsidP="002D716F"/>
    <w:p w:rsidR="002D716F" w:rsidRPr="002D716F" w:rsidRDefault="002D716F" w:rsidP="002D716F">
      <w:pPr>
        <w:rPr>
          <w:u w:val="single"/>
        </w:rPr>
      </w:pPr>
      <w:r w:rsidRPr="002D716F">
        <w:rPr>
          <w:b/>
          <w:u w:val="single"/>
        </w:rPr>
        <w:t>Class Topics and Readings</w:t>
      </w:r>
    </w:p>
    <w:p w:rsidR="002D716F" w:rsidRPr="002D716F" w:rsidRDefault="002D716F" w:rsidP="002D716F">
      <w:r w:rsidRPr="002D716F">
        <w:tab/>
      </w:r>
      <w:r w:rsidRPr="002D716F">
        <w:tab/>
      </w:r>
      <w:r w:rsidRPr="002D716F">
        <w:tab/>
      </w:r>
      <w:r w:rsidRPr="002D716F">
        <w:tab/>
      </w:r>
    </w:p>
    <w:p w:rsidR="002D716F" w:rsidRPr="002D716F" w:rsidRDefault="002D716F" w:rsidP="002D716F">
      <w:pPr>
        <w:rPr>
          <w:b/>
        </w:rPr>
      </w:pPr>
      <w:r w:rsidRPr="002D716F">
        <w:rPr>
          <w:b/>
        </w:rPr>
        <w:t xml:space="preserve">Class 1: January </w:t>
      </w:r>
      <w:r w:rsidR="00C22629">
        <w:rPr>
          <w:b/>
        </w:rPr>
        <w:t>21</w:t>
      </w:r>
    </w:p>
    <w:p w:rsidR="002D716F" w:rsidRPr="002D716F" w:rsidRDefault="002D716F" w:rsidP="002D716F">
      <w:r w:rsidRPr="002D716F">
        <w:rPr>
          <w:b/>
        </w:rPr>
        <w:t>Scientific background</w:t>
      </w:r>
    </w:p>
    <w:p w:rsidR="002D716F" w:rsidRPr="002D716F" w:rsidRDefault="002D716F" w:rsidP="002D716F"/>
    <w:p w:rsidR="00D3201E" w:rsidRDefault="00D3201E" w:rsidP="002D716F">
      <w:r>
        <w:t xml:space="preserve">View film </w:t>
      </w:r>
      <w:r>
        <w:rPr>
          <w:i/>
        </w:rPr>
        <w:t>Paris to Pittsburgh</w:t>
      </w:r>
      <w:r>
        <w:t xml:space="preserve"> (2018)</w:t>
      </w:r>
      <w:r w:rsidR="000D7C17">
        <w:t xml:space="preserve"> (1 hour 17 minutes)</w:t>
      </w:r>
    </w:p>
    <w:p w:rsidR="000D6530" w:rsidRDefault="000D6530" w:rsidP="002D716F">
      <w:r w:rsidRPr="000D6530">
        <w:rPr>
          <w:u w:val="single"/>
        </w:rPr>
        <w:t>https://echo360.org/media/90f3baa8-ff68-4850-b590-dcd032bc83b7/public</w:t>
      </w:r>
    </w:p>
    <w:p w:rsidR="00D3201E" w:rsidRDefault="00D3201E" w:rsidP="002D716F"/>
    <w:p w:rsidR="002D716F" w:rsidRDefault="002D716F" w:rsidP="002D716F">
      <w:r w:rsidRPr="002D716F">
        <w:t>Michael B. Gerrard, “Introduction and Overview,” Chapter 1 in Gerrard &amp; Freeman</w:t>
      </w:r>
    </w:p>
    <w:p w:rsidR="002D716F" w:rsidRDefault="002D716F" w:rsidP="002D716F"/>
    <w:p w:rsidR="00D3201E" w:rsidRDefault="00D3201E" w:rsidP="002D716F">
      <w:r>
        <w:t xml:space="preserve">U.S. Global Change Research Program, </w:t>
      </w:r>
      <w:r w:rsidRPr="00131D4A">
        <w:rPr>
          <w:i/>
        </w:rPr>
        <w:t>Fourth National Climate Assessment</w:t>
      </w:r>
      <w:r>
        <w:t>, Vol. II – Impacts, Risks, and Adaptation in the United States: Report-in-Brief (2018), pp. 11-55</w:t>
      </w:r>
    </w:p>
    <w:p w:rsidR="00D3201E" w:rsidRDefault="002F286D" w:rsidP="002D716F">
      <w:pPr>
        <w:rPr>
          <w:rStyle w:val="Hyperlink"/>
        </w:rPr>
      </w:pPr>
      <w:hyperlink r:id="rId10" w:history="1">
        <w:r w:rsidR="00D3201E" w:rsidRPr="004E200B">
          <w:rPr>
            <w:rStyle w:val="Hyperlink"/>
          </w:rPr>
          <w:t>https://nca2018.globalchange.gov/downloads/NCA4_Report-in-Brief.pdf</w:t>
        </w:r>
      </w:hyperlink>
    </w:p>
    <w:p w:rsidR="000D7C17" w:rsidRDefault="000D7C17" w:rsidP="002D716F">
      <w:pPr>
        <w:rPr>
          <w:rStyle w:val="Hyperlink"/>
        </w:rPr>
      </w:pPr>
    </w:p>
    <w:p w:rsidR="000D7C17" w:rsidRDefault="000D7C17" w:rsidP="002D716F">
      <w:pPr>
        <w:rPr>
          <w:rStyle w:val="Hyperlink"/>
        </w:rPr>
      </w:pPr>
      <w:r>
        <w:rPr>
          <w:rStyle w:val="Hyperlink"/>
        </w:rPr>
        <w:t>Timothy M. Lenton et al., Climate tipping points – too risky to bet against, 575 Nature 592 (2019)</w:t>
      </w:r>
    </w:p>
    <w:p w:rsidR="000D7C17" w:rsidRDefault="002F286D" w:rsidP="002D716F">
      <w:hyperlink r:id="rId11" w:history="1">
        <w:r w:rsidR="000D7C17" w:rsidRPr="000D7C17">
          <w:rPr>
            <w:color w:val="0000FF"/>
            <w:u w:val="single"/>
          </w:rPr>
          <w:t>https://www.nature.com/articles/d41586-019-03595-0</w:t>
        </w:r>
      </w:hyperlink>
    </w:p>
    <w:p w:rsidR="00D3201E" w:rsidRDefault="00D3201E" w:rsidP="002D716F"/>
    <w:p w:rsidR="00D3201E" w:rsidRPr="00131D4A" w:rsidRDefault="00D3201E" w:rsidP="002D716F"/>
    <w:p w:rsidR="002D716F" w:rsidRPr="002D716F" w:rsidRDefault="002D716F" w:rsidP="002D716F">
      <w:pPr>
        <w:rPr>
          <w:b/>
        </w:rPr>
      </w:pPr>
      <w:r w:rsidRPr="002D716F">
        <w:rPr>
          <w:b/>
        </w:rPr>
        <w:t xml:space="preserve">Class 2: January </w:t>
      </w:r>
      <w:r w:rsidR="00C22629">
        <w:rPr>
          <w:b/>
        </w:rPr>
        <w:t>23</w:t>
      </w:r>
    </w:p>
    <w:p w:rsidR="002D716F" w:rsidRPr="002D716F" w:rsidRDefault="002D716F" w:rsidP="002D716F">
      <w:pPr>
        <w:rPr>
          <w:b/>
        </w:rPr>
      </w:pPr>
      <w:r w:rsidRPr="002D716F">
        <w:rPr>
          <w:b/>
        </w:rPr>
        <w:t>Montreal Protocol and U.N. Framework Convention on Climate Change</w:t>
      </w:r>
    </w:p>
    <w:p w:rsidR="002D716F" w:rsidRPr="002D716F" w:rsidRDefault="002D716F" w:rsidP="002D716F">
      <w:pPr>
        <w:rPr>
          <w:b/>
        </w:rPr>
      </w:pPr>
    </w:p>
    <w:p w:rsidR="002D716F" w:rsidRDefault="002D716F" w:rsidP="002D716F">
      <w:r w:rsidRPr="002D716F">
        <w:lastRenderedPageBreak/>
        <w:t xml:space="preserve">Tseming Yang, “The Relationship Between Domestic and International Environmental Law,” in Martella &amp; Grosko, eds., </w:t>
      </w:r>
      <w:r w:rsidRPr="002D716F">
        <w:rPr>
          <w:i/>
        </w:rPr>
        <w:t>International Environmental Law: The Practitioner’s Guide to the Laws of the Planet</w:t>
      </w:r>
      <w:r w:rsidRPr="002D716F">
        <w:t xml:space="preserve"> </w:t>
      </w:r>
      <w:r w:rsidR="000D123E">
        <w:t>(2014)</w:t>
      </w:r>
    </w:p>
    <w:p w:rsidR="002D716F" w:rsidRDefault="002F286D" w:rsidP="002D716F">
      <w:hyperlink r:id="rId12" w:history="1">
        <w:r w:rsidR="000D7C17" w:rsidRPr="00E8685E">
          <w:rPr>
            <w:rStyle w:val="Hyperlink"/>
          </w:rPr>
          <w:t>https://digitalcommons.law.scu.edu/cgi/viewcontent.cgi?article=1770&amp;context=facpubs</w:t>
        </w:r>
      </w:hyperlink>
    </w:p>
    <w:p w:rsidR="000D7C17" w:rsidRPr="002D716F" w:rsidRDefault="000D7C17" w:rsidP="002D716F"/>
    <w:p w:rsidR="002D716F" w:rsidRPr="002D716F" w:rsidRDefault="00B7719E" w:rsidP="002D716F">
      <w:r>
        <w:t>Kyle Danish,</w:t>
      </w:r>
      <w:r w:rsidR="00DF3EBB">
        <w:t xml:space="preserve"> </w:t>
      </w:r>
      <w:r w:rsidR="002D716F" w:rsidRPr="002D716F">
        <w:t>”The</w:t>
      </w:r>
      <w:r w:rsidR="00DF3EBB">
        <w:t xml:space="preserve"> </w:t>
      </w:r>
      <w:r w:rsidR="002D716F" w:rsidRPr="002D716F">
        <w:t xml:space="preserve">International Climate Regime,” Chapter 2 in Gerrard &amp; Freeman, </w:t>
      </w:r>
      <w:r w:rsidR="009B40A0">
        <w:t>pp. 37-42</w:t>
      </w:r>
    </w:p>
    <w:p w:rsidR="002D716F" w:rsidRPr="002D716F" w:rsidRDefault="002D716F" w:rsidP="002D716F"/>
    <w:p w:rsidR="002D716F" w:rsidRPr="000D123E" w:rsidRDefault="000D123E" w:rsidP="002D716F">
      <w:r>
        <w:t xml:space="preserve">Philippe Sands &amp; Jacqueline Peel, </w:t>
      </w:r>
      <w:r>
        <w:rPr>
          <w:i/>
        </w:rPr>
        <w:t>Principles of International Environmental Law</w:t>
      </w:r>
      <w:r>
        <w:t xml:space="preserve"> (Cambridge 2012), “Ozone,” pp. 262-274</w:t>
      </w:r>
    </w:p>
    <w:p w:rsidR="009B40A0" w:rsidRDefault="009B40A0" w:rsidP="002D716F"/>
    <w:p w:rsidR="009B40A0" w:rsidRPr="009B40A0" w:rsidRDefault="009B40A0" w:rsidP="002D716F">
      <w:r>
        <w:t xml:space="preserve">“The Deepest Cuts: Our guide to the actions that have done the most to slow global warming,” </w:t>
      </w:r>
      <w:r>
        <w:rPr>
          <w:i/>
        </w:rPr>
        <w:t>The Economist</w:t>
      </w:r>
      <w:r>
        <w:t>, September 20, 2014, pp. 21-23</w:t>
      </w:r>
    </w:p>
    <w:p w:rsidR="002D716F" w:rsidRPr="002D716F" w:rsidRDefault="002D716F" w:rsidP="002D716F"/>
    <w:p w:rsidR="002D716F" w:rsidRPr="002D716F" w:rsidRDefault="002D716F" w:rsidP="002D716F">
      <w:r w:rsidRPr="002D716F">
        <w:t>United Nations Framework Convention on Climate Change (1992)</w:t>
      </w:r>
      <w:r w:rsidR="00482FA7">
        <w:t xml:space="preserve"> (read pp. 1 - 9; skim rest)</w:t>
      </w:r>
    </w:p>
    <w:p w:rsidR="002D716F" w:rsidRDefault="002F286D" w:rsidP="002D716F">
      <w:hyperlink r:id="rId13" w:history="1">
        <w:r w:rsidR="00307341" w:rsidRPr="004E200B">
          <w:rPr>
            <w:rStyle w:val="Hyperlink"/>
          </w:rPr>
          <w:t>https://unfccc.int/resource/docs/convkp/conveng.pdf</w:t>
        </w:r>
      </w:hyperlink>
    </w:p>
    <w:p w:rsidR="00307341" w:rsidRPr="002D716F" w:rsidRDefault="00307341" w:rsidP="002D716F"/>
    <w:p w:rsidR="002D716F" w:rsidRPr="002D716F" w:rsidRDefault="002D716F" w:rsidP="002D716F"/>
    <w:p w:rsidR="002D716F" w:rsidRPr="002D716F" w:rsidRDefault="002D716F" w:rsidP="002D716F">
      <w:pPr>
        <w:rPr>
          <w:b/>
        </w:rPr>
      </w:pPr>
      <w:r w:rsidRPr="002D716F">
        <w:rPr>
          <w:b/>
        </w:rPr>
        <w:t xml:space="preserve">Class 3: January </w:t>
      </w:r>
      <w:r w:rsidR="00C22629">
        <w:rPr>
          <w:b/>
        </w:rPr>
        <w:t>28</w:t>
      </w:r>
    </w:p>
    <w:p w:rsidR="002D716F" w:rsidRPr="002D716F" w:rsidRDefault="002D716F" w:rsidP="002D716F">
      <w:pPr>
        <w:rPr>
          <w:b/>
        </w:rPr>
      </w:pPr>
      <w:r w:rsidRPr="002D716F">
        <w:rPr>
          <w:b/>
        </w:rPr>
        <w:t>Kyoto Protocol</w:t>
      </w:r>
    </w:p>
    <w:p w:rsidR="002D716F" w:rsidRPr="002D716F" w:rsidRDefault="002D716F" w:rsidP="002D716F">
      <w:pPr>
        <w:rPr>
          <w:b/>
        </w:rPr>
      </w:pPr>
    </w:p>
    <w:p w:rsidR="002D716F" w:rsidRPr="002D716F" w:rsidRDefault="002D716F" w:rsidP="002D716F">
      <w:r w:rsidRPr="002D716F">
        <w:t>Kyle Danish,</w:t>
      </w:r>
      <w:r w:rsidR="00B7719E">
        <w:t xml:space="preserve"> </w:t>
      </w:r>
      <w:r w:rsidRPr="002D716F">
        <w:t xml:space="preserve">”The International Climate Regime,” Chapter 2 in Gerrard &amp; Freeman, </w:t>
      </w:r>
      <w:r w:rsidR="009B40A0">
        <w:t>pp. 42-79</w:t>
      </w:r>
    </w:p>
    <w:p w:rsidR="002D716F" w:rsidRPr="002D716F" w:rsidRDefault="002D716F" w:rsidP="002D716F"/>
    <w:p w:rsidR="002D716F" w:rsidRDefault="002D716F" w:rsidP="002D716F">
      <w:r w:rsidRPr="002D716F">
        <w:t>Kyoto Protocol to the United Nations Framework Convention on Climate Change (1998)</w:t>
      </w:r>
      <w:r w:rsidR="00482FA7">
        <w:t xml:space="preserve"> (read pp. 1 - 12; skim rest)</w:t>
      </w:r>
    </w:p>
    <w:p w:rsidR="00307341" w:rsidRDefault="00307341" w:rsidP="002D716F">
      <w:r w:rsidRPr="00307341">
        <w:t>https://unfccc.int/resource/docs/convkp/kpeng.pdf</w:t>
      </w:r>
    </w:p>
    <w:p w:rsidR="00FD1B1A" w:rsidRDefault="00FD1B1A" w:rsidP="002D716F"/>
    <w:p w:rsidR="00FD1B1A" w:rsidRPr="00FD1B1A" w:rsidRDefault="00FD1B1A" w:rsidP="002D716F">
      <w:r>
        <w:t xml:space="preserve">Daniel Bodansky et al., </w:t>
      </w:r>
      <w:r>
        <w:rPr>
          <w:i/>
        </w:rPr>
        <w:t>International Climate Change Law</w:t>
      </w:r>
      <w:r>
        <w:t xml:space="preserve"> (2017), pp. 1-34</w:t>
      </w:r>
    </w:p>
    <w:p w:rsidR="002D716F" w:rsidRPr="002D716F" w:rsidRDefault="002D716F" w:rsidP="002D716F">
      <w:pPr>
        <w:rPr>
          <w:b/>
        </w:rPr>
      </w:pPr>
    </w:p>
    <w:p w:rsidR="002D716F" w:rsidRPr="002D716F" w:rsidRDefault="002D716F" w:rsidP="002D716F">
      <w:pPr>
        <w:rPr>
          <w:b/>
        </w:rPr>
      </w:pPr>
      <w:r w:rsidRPr="002D716F">
        <w:rPr>
          <w:b/>
        </w:rPr>
        <w:t xml:space="preserve">Class 4: </w:t>
      </w:r>
      <w:r w:rsidR="009B40A0">
        <w:rPr>
          <w:b/>
        </w:rPr>
        <w:t xml:space="preserve">January </w:t>
      </w:r>
      <w:r w:rsidR="00C22629">
        <w:rPr>
          <w:b/>
        </w:rPr>
        <w:t>30</w:t>
      </w:r>
    </w:p>
    <w:p w:rsidR="002D716F" w:rsidRPr="002D716F" w:rsidRDefault="00482FA7" w:rsidP="002D716F">
      <w:pPr>
        <w:rPr>
          <w:b/>
        </w:rPr>
      </w:pPr>
      <w:r>
        <w:rPr>
          <w:b/>
        </w:rPr>
        <w:t>Paris Agreement</w:t>
      </w:r>
    </w:p>
    <w:p w:rsidR="002D716F" w:rsidRPr="002D716F" w:rsidRDefault="002D716F" w:rsidP="002D716F"/>
    <w:p w:rsidR="002D716F" w:rsidRDefault="002D716F" w:rsidP="002D716F">
      <w:r w:rsidRPr="002D716F">
        <w:t>United Nations, Copenhagen Accord (December 2009)</w:t>
      </w:r>
    </w:p>
    <w:p w:rsidR="00307341" w:rsidRPr="002D716F" w:rsidRDefault="00307341" w:rsidP="002D716F">
      <w:r w:rsidRPr="00307341">
        <w:t>https://unfccc.int/resource/docs/2009/cmp5/eng/l09.pdf</w:t>
      </w:r>
    </w:p>
    <w:p w:rsidR="002D716F" w:rsidRPr="002D716F" w:rsidRDefault="002D716F" w:rsidP="002D716F"/>
    <w:p w:rsidR="002D716F" w:rsidRDefault="00482FA7" w:rsidP="002D716F">
      <w:r>
        <w:t xml:space="preserve">Adoption of the Paris Agreement: Decision </w:t>
      </w:r>
      <w:r w:rsidR="00C15235">
        <w:t>1</w:t>
      </w:r>
      <w:r>
        <w:t>/CP.21 (pp. 1 - 20)  (skim)</w:t>
      </w:r>
    </w:p>
    <w:p w:rsidR="000D7C17" w:rsidRDefault="00482FA7" w:rsidP="002D716F">
      <w:r>
        <w:t xml:space="preserve">Paris Agreement (pp. 21 </w:t>
      </w:r>
      <w:r w:rsidR="00C15235">
        <w:t>–</w:t>
      </w:r>
      <w:r>
        <w:t xml:space="preserve"> </w:t>
      </w:r>
      <w:r w:rsidR="00C15235">
        <w:t>36)</w:t>
      </w:r>
    </w:p>
    <w:p w:rsidR="00B170B1" w:rsidRPr="002D716F" w:rsidRDefault="00B170B1" w:rsidP="002D716F">
      <w:r w:rsidRPr="00B170B1">
        <w:t>http://unfccc.int/resource/docs/2015/cop21/eng/10a01.pdf</w:t>
      </w:r>
    </w:p>
    <w:p w:rsidR="002D716F" w:rsidRDefault="002D716F" w:rsidP="002D716F"/>
    <w:p w:rsidR="00EE18F3" w:rsidRDefault="000D0625" w:rsidP="002D716F">
      <w:r w:rsidRPr="000D0625">
        <w:t xml:space="preserve">Daniel Bodansky, “The Paris Climate Change Agreement: A New Hope?” 110 </w:t>
      </w:r>
      <w:r w:rsidRPr="00131D4A">
        <w:rPr>
          <w:i/>
        </w:rPr>
        <w:t>Am. J. Int’l L.</w:t>
      </w:r>
      <w:r w:rsidRPr="000D0625">
        <w:t xml:space="preserve"> 288 (2016)</w:t>
      </w:r>
    </w:p>
    <w:p w:rsidR="000D0625" w:rsidRDefault="000D0625" w:rsidP="002D716F"/>
    <w:p w:rsidR="00212E9C" w:rsidRPr="002D716F" w:rsidRDefault="00212E9C" w:rsidP="002D716F"/>
    <w:p w:rsidR="002D716F" w:rsidRPr="002D716F" w:rsidRDefault="002D716F" w:rsidP="002D716F">
      <w:pPr>
        <w:rPr>
          <w:b/>
        </w:rPr>
      </w:pPr>
      <w:r w:rsidRPr="002D716F">
        <w:rPr>
          <w:b/>
        </w:rPr>
        <w:t xml:space="preserve">Class 5: </w:t>
      </w:r>
      <w:r w:rsidR="007D7796">
        <w:rPr>
          <w:b/>
        </w:rPr>
        <w:t xml:space="preserve">February </w:t>
      </w:r>
      <w:r w:rsidR="00C22629">
        <w:rPr>
          <w:b/>
        </w:rPr>
        <w:t>4</w:t>
      </w:r>
    </w:p>
    <w:p w:rsidR="002D716F" w:rsidRPr="002D716F" w:rsidRDefault="00A90CB0" w:rsidP="002D716F">
      <w:pPr>
        <w:rPr>
          <w:b/>
        </w:rPr>
      </w:pPr>
      <w:r>
        <w:rPr>
          <w:b/>
        </w:rPr>
        <w:t>Implementation of the Paris Agreement</w:t>
      </w:r>
    </w:p>
    <w:p w:rsidR="00A90CB0" w:rsidRDefault="00A90CB0" w:rsidP="002D716F"/>
    <w:p w:rsidR="00F06F9F" w:rsidRDefault="00F06F9F" w:rsidP="002D716F">
      <w:r>
        <w:t>Scott Barrett, Climate treaties and the imperative of enforcement, 24 Oxford Rev. Econ. Pol’y 239 (2008)</w:t>
      </w:r>
    </w:p>
    <w:p w:rsidR="0009093E" w:rsidRDefault="0009093E" w:rsidP="002D716F"/>
    <w:p w:rsidR="00BD0B19" w:rsidRDefault="00FD1B1A" w:rsidP="002D716F">
      <w:r>
        <w:lastRenderedPageBreak/>
        <w:t>The White House, “Statement by President Trump on the Paris Climate Accord,” June 1, 2017</w:t>
      </w:r>
    </w:p>
    <w:p w:rsidR="0009093E" w:rsidRDefault="0009093E" w:rsidP="002D716F">
      <w:r w:rsidRPr="0009093E">
        <w:t>https://www.whitehouse.gov/briefings-statements/statement-president-trump-paris-climate-accord/</w:t>
      </w:r>
    </w:p>
    <w:p w:rsidR="00D13357" w:rsidRDefault="00D13357" w:rsidP="002D716F"/>
    <w:p w:rsidR="004F7BC0" w:rsidRDefault="00AC259D" w:rsidP="00282A98">
      <w:r>
        <w:t>U.S. Department of State, U.S. National Statement at</w:t>
      </w:r>
      <w:r w:rsidR="004F7BC0">
        <w:t xml:space="preserve"> COP25 (December 11, 2019)</w:t>
      </w:r>
    </w:p>
    <w:p w:rsidR="004F7BC0" w:rsidRDefault="002F286D" w:rsidP="00282A98">
      <w:hyperlink r:id="rId14" w:history="1">
        <w:r w:rsidR="004F7BC0" w:rsidRPr="004F7BC0">
          <w:rPr>
            <w:color w:val="0000FF"/>
            <w:u w:val="single"/>
          </w:rPr>
          <w:t>https://www.state.gov/united-states-national-statement-at-unfccc-cop25/</w:t>
        </w:r>
      </w:hyperlink>
    </w:p>
    <w:p w:rsidR="00AC259D" w:rsidRDefault="00AC259D" w:rsidP="009B7E77">
      <w:r>
        <w:t xml:space="preserve"> </w:t>
      </w:r>
    </w:p>
    <w:p w:rsidR="000341A5" w:rsidRDefault="00FF0155" w:rsidP="002D716F">
      <w:pPr>
        <w:rPr>
          <w:rStyle w:val="Hyperlink"/>
        </w:rPr>
      </w:pPr>
      <w:r>
        <w:rPr>
          <w:rStyle w:val="Hyperlink"/>
        </w:rPr>
        <w:t>Yamide Dagnet et al., “COP25: What We Needed, What We Got, What’s Next” (World Resources Institute, December 23, 2019)</w:t>
      </w:r>
    </w:p>
    <w:p w:rsidR="00FF0155" w:rsidRDefault="002F286D" w:rsidP="002D716F">
      <w:hyperlink r:id="rId15" w:history="1">
        <w:r w:rsidR="00FF0155" w:rsidRPr="00FF0155">
          <w:rPr>
            <w:color w:val="0000FF"/>
            <w:u w:val="single"/>
          </w:rPr>
          <w:t>https://www.wri.org/blog/2019/12/cop25-what-we-needed-what-we-got-whats-next</w:t>
        </w:r>
      </w:hyperlink>
    </w:p>
    <w:p w:rsidR="00AC259D" w:rsidRPr="002D716F" w:rsidRDefault="00AC259D" w:rsidP="002D716F"/>
    <w:p w:rsidR="002D716F" w:rsidRDefault="004F7BC0" w:rsidP="002D716F">
      <w:r>
        <w:t>G.B. Asheim et al, The case for a supply-side climate treaty, 365 Science 325 (2019)</w:t>
      </w:r>
    </w:p>
    <w:p w:rsidR="004F7BC0" w:rsidRDefault="002F286D" w:rsidP="002D716F">
      <w:hyperlink r:id="rId16" w:history="1">
        <w:r w:rsidR="004F7BC0" w:rsidRPr="004F7BC0">
          <w:rPr>
            <w:color w:val="0000FF"/>
            <w:u w:val="single"/>
          </w:rPr>
          <w:t>https://science.sciencemag.org/content/365/6451/325.full</w:t>
        </w:r>
      </w:hyperlink>
    </w:p>
    <w:p w:rsidR="004F7BC0" w:rsidRDefault="004F7BC0" w:rsidP="002D716F"/>
    <w:p w:rsidR="004F7BC0" w:rsidRDefault="004F7BC0" w:rsidP="002D716F"/>
    <w:p w:rsidR="004F7BC0" w:rsidRDefault="004F7BC0" w:rsidP="002D716F"/>
    <w:p w:rsidR="00FD1B1A" w:rsidRDefault="00FD1B1A" w:rsidP="00FD1B1A">
      <w:r w:rsidRPr="00B7719E">
        <w:rPr>
          <w:b/>
        </w:rPr>
        <w:t xml:space="preserve">Class 6: </w:t>
      </w:r>
      <w:r w:rsidR="002B1EEA" w:rsidRPr="00B7719E">
        <w:rPr>
          <w:b/>
        </w:rPr>
        <w:t xml:space="preserve">February </w:t>
      </w:r>
      <w:r w:rsidR="00C22629">
        <w:rPr>
          <w:b/>
        </w:rPr>
        <w:t>6</w:t>
      </w:r>
    </w:p>
    <w:p w:rsidR="00FD1B1A" w:rsidRPr="005873B0" w:rsidRDefault="00FD1B1A" w:rsidP="00FD1B1A">
      <w:pPr>
        <w:rPr>
          <w:b/>
        </w:rPr>
      </w:pPr>
      <w:r w:rsidRPr="005873B0">
        <w:rPr>
          <w:b/>
        </w:rPr>
        <w:t>International trade</w:t>
      </w:r>
    </w:p>
    <w:p w:rsidR="00FD1B1A" w:rsidRDefault="00FD1B1A" w:rsidP="00FD1B1A"/>
    <w:p w:rsidR="00FD1B1A" w:rsidRDefault="00FD1B1A" w:rsidP="00FD1B1A">
      <w:r>
        <w:t>David Hunter &amp; Chris Wold, “Addressing Climate Change Through Non-Climate International Instruments,” Chapter 22 in Gerrard &amp; Freeman, pp. 769-774</w:t>
      </w:r>
    </w:p>
    <w:p w:rsidR="00FD1B1A" w:rsidRDefault="00FD1B1A" w:rsidP="00FD1B1A"/>
    <w:p w:rsidR="00FD1B1A" w:rsidRDefault="00FD1B1A" w:rsidP="00FD1B1A">
      <w:r>
        <w:t xml:space="preserve">Markus W. Gehring, Marie-Claire Cordonier Segger &amp; Jarrod Hepburn, “Climate change and international trade and investment law,” in </w:t>
      </w:r>
      <w:r w:rsidRPr="00131D4A">
        <w:rPr>
          <w:i/>
        </w:rPr>
        <w:t>International Law in the Era of Climate Change</w:t>
      </w:r>
      <w:r>
        <w:t xml:space="preserve"> (Rosemary Rayfuse &amp; Shirley V. Scott, eds. 2012), pp. 84-117</w:t>
      </w:r>
    </w:p>
    <w:p w:rsidR="00FD1B1A" w:rsidRDefault="00FD1B1A" w:rsidP="00FD1B1A"/>
    <w:p w:rsidR="00FD1B1A" w:rsidRDefault="00FD1B1A" w:rsidP="00FD1B1A">
      <w:r>
        <w:t xml:space="preserve">Naomi Klein, </w:t>
      </w:r>
      <w:r w:rsidRPr="00131D4A">
        <w:rPr>
          <w:i/>
        </w:rPr>
        <w:t>This Changes Everything: Capitalism vs. the Climate</w:t>
      </w:r>
      <w:r>
        <w:t xml:space="preserve"> (2014), pp. 64-95</w:t>
      </w:r>
    </w:p>
    <w:p w:rsidR="00FD1B1A" w:rsidRPr="002D716F" w:rsidRDefault="00FD1B1A" w:rsidP="002D716F"/>
    <w:p w:rsidR="002D716F" w:rsidRPr="002D716F" w:rsidRDefault="002D716F" w:rsidP="002D716F">
      <w:pPr>
        <w:rPr>
          <w:b/>
        </w:rPr>
      </w:pPr>
      <w:r w:rsidRPr="002D716F">
        <w:rPr>
          <w:b/>
        </w:rPr>
        <w:t xml:space="preserve">Class </w:t>
      </w:r>
      <w:r w:rsidR="00FD1B1A">
        <w:rPr>
          <w:b/>
        </w:rPr>
        <w:t>7</w:t>
      </w:r>
      <w:r w:rsidRPr="002D716F">
        <w:rPr>
          <w:b/>
        </w:rPr>
        <w:t xml:space="preserve">: February </w:t>
      </w:r>
      <w:r w:rsidR="00C22629">
        <w:rPr>
          <w:b/>
        </w:rPr>
        <w:t>11</w:t>
      </w:r>
    </w:p>
    <w:p w:rsidR="002D716F" w:rsidRPr="002D716F" w:rsidRDefault="002D716F" w:rsidP="002D716F">
      <w:pPr>
        <w:rPr>
          <w:b/>
        </w:rPr>
      </w:pPr>
      <w:r w:rsidRPr="002D716F">
        <w:rPr>
          <w:b/>
        </w:rPr>
        <w:t>U.S. policy</w:t>
      </w:r>
    </w:p>
    <w:p w:rsidR="002D716F" w:rsidRPr="002D716F" w:rsidRDefault="002D716F" w:rsidP="002D716F">
      <w:pPr>
        <w:rPr>
          <w:b/>
        </w:rPr>
      </w:pPr>
    </w:p>
    <w:p w:rsidR="002D716F" w:rsidRPr="002D716F" w:rsidRDefault="002D716F" w:rsidP="002D716F">
      <w:r w:rsidRPr="002D716F">
        <w:t xml:space="preserve">John C. Dernbach &amp; Robert Altenburg, “Evolution of U.S. Climate Policy,” Chapter 3 in Gerrard &amp; Freeman </w:t>
      </w:r>
    </w:p>
    <w:p w:rsidR="000D0625" w:rsidRDefault="000D0625" w:rsidP="002D716F"/>
    <w:p w:rsidR="00E767DB" w:rsidRDefault="00D13357" w:rsidP="002D716F">
      <w:r>
        <w:t>The White House, Executive Order: Promoting Energy Independence and Economic Growth (March 28, 2017)</w:t>
      </w:r>
    </w:p>
    <w:p w:rsidR="00E43601" w:rsidRDefault="00E43601" w:rsidP="002D716F">
      <w:r w:rsidRPr="00E43601">
        <w:t>https://www.whitehouse.gov/presidential-actions/presidential-executive-order-promoting-energy-independence-economic-growth/</w:t>
      </w:r>
    </w:p>
    <w:p w:rsidR="003F7203" w:rsidRPr="00131D4A" w:rsidRDefault="003F7203" w:rsidP="002D716F">
      <w:pPr>
        <w:rPr>
          <w:i/>
        </w:rPr>
      </w:pPr>
    </w:p>
    <w:p w:rsidR="003F7203" w:rsidRDefault="003F7203" w:rsidP="002D716F">
      <w:r w:rsidRPr="00131D4A">
        <w:rPr>
          <w:i/>
        </w:rPr>
        <w:t>Clean Air Council v. Pruitt</w:t>
      </w:r>
      <w:r>
        <w:t>, 862 F.3d 1 (D.C. Cir. 2017) (excerpt</w:t>
      </w:r>
      <w:r w:rsidR="00E43601">
        <w:t>s – Slip Op. pp.  1-5, 11-15)</w:t>
      </w:r>
    </w:p>
    <w:p w:rsidR="00E43601" w:rsidRDefault="00E43601" w:rsidP="002D716F">
      <w:r w:rsidRPr="00E43601">
        <w:t>https://www.cadc.uscourts.gov/internet/opinions.nsf/a86b20d79beb893e85258152005ca1b2/$file/17-1145-1682465.pdf</w:t>
      </w:r>
    </w:p>
    <w:p w:rsidR="00711FA6" w:rsidRDefault="00711FA6" w:rsidP="002D716F"/>
    <w:p w:rsidR="00711FA6" w:rsidRDefault="00711FA6" w:rsidP="002D716F">
      <w:r w:rsidRPr="00131D4A">
        <w:rPr>
          <w:i/>
        </w:rPr>
        <w:t>Indigenous Environmental Network v. U.S. Department of State,</w:t>
      </w:r>
      <w:r>
        <w:t xml:space="preserve"> CV-17-29-GF-BMM (D. Mt., Nov. 8, 2018) (</w:t>
      </w:r>
      <w:r w:rsidR="00E43601">
        <w:t>Slip op.</w:t>
      </w:r>
      <w:r w:rsidR="00634782">
        <w:t xml:space="preserve"> pp. 1-5, 19-23, 31-35; skim the rest)</w:t>
      </w:r>
      <w:r w:rsidR="004F7BC0">
        <w:t xml:space="preserve"> [Note: be sure to read the 11/8/18 order], vacated as moot, 9</w:t>
      </w:r>
      <w:r w:rsidR="004F7BC0" w:rsidRPr="00272DD5">
        <w:rPr>
          <w:vertAlign w:val="superscript"/>
        </w:rPr>
        <w:t>th</w:t>
      </w:r>
      <w:r w:rsidR="004F7BC0">
        <w:t xml:space="preserve"> Cir., June 6, 2019</w:t>
      </w:r>
    </w:p>
    <w:p w:rsidR="00EC1637" w:rsidRDefault="00EC1637" w:rsidP="002D716F">
      <w:r w:rsidRPr="00EC1637">
        <w:t>http://climatecasechart.com/case/indigenous-environmental-network-v-united-states-department-of-state/</w:t>
      </w:r>
    </w:p>
    <w:p w:rsidR="00EC1637" w:rsidRDefault="00EC1637" w:rsidP="002D716F"/>
    <w:p w:rsidR="00E767DB" w:rsidRDefault="00F06F9F" w:rsidP="002D716F">
      <w:r>
        <w:lastRenderedPageBreak/>
        <w:t>Sabin Center for Climate Change Law, Climate Deregulation Tracker (skim)</w:t>
      </w:r>
    </w:p>
    <w:p w:rsidR="00F06F9F" w:rsidRDefault="00F06F9F" w:rsidP="002D716F">
      <w:r w:rsidRPr="00F06F9F">
        <w:t>http://columbiaclimatelaw.com/resources/climate-deregulation-tracker/</w:t>
      </w:r>
    </w:p>
    <w:p w:rsidR="0016576A" w:rsidRPr="002D716F" w:rsidRDefault="0016576A" w:rsidP="002D716F"/>
    <w:p w:rsidR="002D716F" w:rsidRDefault="002D716F" w:rsidP="002D716F">
      <w:pPr>
        <w:rPr>
          <w:b/>
        </w:rPr>
      </w:pPr>
      <w:r w:rsidRPr="002D716F">
        <w:rPr>
          <w:b/>
        </w:rPr>
        <w:t xml:space="preserve">Class </w:t>
      </w:r>
      <w:r w:rsidR="00FD1B1A">
        <w:rPr>
          <w:b/>
        </w:rPr>
        <w:t>8</w:t>
      </w:r>
      <w:r w:rsidRPr="002D716F">
        <w:rPr>
          <w:b/>
        </w:rPr>
        <w:t xml:space="preserve">: February </w:t>
      </w:r>
      <w:r w:rsidR="00C22629">
        <w:rPr>
          <w:b/>
        </w:rPr>
        <w:t>13</w:t>
      </w:r>
    </w:p>
    <w:p w:rsidR="003731A5" w:rsidRDefault="003731A5" w:rsidP="002D716F">
      <w:r>
        <w:rPr>
          <w:b/>
        </w:rPr>
        <w:t>Climate Denial: Origins and Litigation</w:t>
      </w:r>
    </w:p>
    <w:p w:rsidR="003731A5" w:rsidRDefault="003731A5" w:rsidP="002D716F"/>
    <w:p w:rsidR="003731A5" w:rsidRDefault="0010423B" w:rsidP="002D716F">
      <w:r>
        <w:t xml:space="preserve">Coral Davenport and Eric Lipton, “How G.O.P. Leaders Came to View Climate Change as Fake Science,” </w:t>
      </w:r>
      <w:r>
        <w:rPr>
          <w:i/>
        </w:rPr>
        <w:t>New York Times</w:t>
      </w:r>
      <w:r>
        <w:t>, June 3, 2017</w:t>
      </w:r>
    </w:p>
    <w:p w:rsidR="00E43601" w:rsidRDefault="002F286D" w:rsidP="002D716F">
      <w:hyperlink r:id="rId17" w:history="1">
        <w:r w:rsidR="00EF6DE3" w:rsidRPr="00E8685E">
          <w:rPr>
            <w:rStyle w:val="Hyperlink"/>
          </w:rPr>
          <w:t>https://www.nytimes.com/2017/06/03/us/politics/republican-leaders-climate-change.html</w:t>
        </w:r>
      </w:hyperlink>
    </w:p>
    <w:p w:rsidR="00EF6DE3" w:rsidRDefault="00EF6DE3" w:rsidP="002D716F"/>
    <w:p w:rsidR="00EF6DE3" w:rsidRDefault="00EF6DE3" w:rsidP="002D716F">
      <w:r>
        <w:t>Brad Plumer &amp; Coral Davenport, Science Under Attack: How Trump is  Sidelining Researchers and Their Work,” New York Times, December 28, 2019</w:t>
      </w:r>
    </w:p>
    <w:p w:rsidR="00EF6DE3" w:rsidRDefault="002F286D" w:rsidP="002D716F">
      <w:hyperlink r:id="rId18" w:history="1">
        <w:r w:rsidR="00EF6DE3" w:rsidRPr="00EF6DE3">
          <w:rPr>
            <w:color w:val="0000FF"/>
            <w:u w:val="single"/>
          </w:rPr>
          <w:t>https://www.nytimes.com/2019/12/28/climate/trump-administration-war-on-science.html</w:t>
        </w:r>
      </w:hyperlink>
    </w:p>
    <w:p w:rsidR="00E43601" w:rsidRDefault="00E43601" w:rsidP="002D716F"/>
    <w:p w:rsidR="00EF6DE3" w:rsidRDefault="00EF6DE3" w:rsidP="002D716F">
      <w:r>
        <w:t>Robert J. Brulle, “Networks of Opposition: A Structural Analysis of U.S. Climate Change Countermovement Coalitions, 1989-2015,” Sociological Inquiry (2019)</w:t>
      </w:r>
    </w:p>
    <w:p w:rsidR="00EF6DE3" w:rsidRDefault="00EF6DE3" w:rsidP="002D716F"/>
    <w:p w:rsidR="0010423B" w:rsidRDefault="00D81E74">
      <w:r>
        <w:rPr>
          <w:i/>
        </w:rPr>
        <w:t>Competitive Enterprise Institute v. Mann</w:t>
      </w:r>
      <w:r>
        <w:t>, D.C. Court of Appeals</w:t>
      </w:r>
      <w:r w:rsidR="000D0625">
        <w:t xml:space="preserve">, 150 A.3d 1213 (DC Ct. Apps. </w:t>
      </w:r>
      <w:r w:rsidR="00874F54">
        <w:t xml:space="preserve">December 22 </w:t>
      </w:r>
      <w:r w:rsidR="000D0625">
        <w:t>2016)</w:t>
      </w:r>
      <w:r w:rsidR="00730E9A">
        <w:t xml:space="preserve"> (</w:t>
      </w:r>
      <w:r w:rsidR="00874F54">
        <w:t>slip op. pp. 1-16, 19-21, 51-105)</w:t>
      </w:r>
      <w:r w:rsidR="00EF6DE3">
        <w:t>, cert. denied,  __ U.S. __ (2019)</w:t>
      </w:r>
    </w:p>
    <w:p w:rsidR="00874F54" w:rsidRDefault="00874F54">
      <w:r w:rsidRPr="00874F54">
        <w:t>http://blogs2.law.columbia.edu/climate-change-litigation/wp-content/uploads/sites/16/case-documents/2016/20161222_docket-14-CV-101-14-CV-126_opinion-1.pdf</w:t>
      </w:r>
    </w:p>
    <w:p w:rsidR="00D81E74" w:rsidRDefault="00D81E74" w:rsidP="002D716F"/>
    <w:p w:rsidR="00EE18F3" w:rsidRDefault="00730E9A" w:rsidP="002D716F">
      <w:r>
        <w:t xml:space="preserve">Sheldon Whitehouse, What phony op-eds about climate change have in common, </w:t>
      </w:r>
      <w:r w:rsidRPr="00131D4A">
        <w:rPr>
          <w:i/>
        </w:rPr>
        <w:t>Columbia Journalism Review</w:t>
      </w:r>
      <w:r>
        <w:t>, July 12, 2016</w:t>
      </w:r>
    </w:p>
    <w:p w:rsidR="00730E9A" w:rsidRDefault="002F286D" w:rsidP="002D716F">
      <w:hyperlink r:id="rId19" w:history="1">
        <w:r w:rsidR="00EF6DE3" w:rsidRPr="00E8685E">
          <w:rPr>
            <w:rStyle w:val="Hyperlink"/>
          </w:rPr>
          <w:t>https://www.cjr.org/first_person/climate_change_department_of_justice.php</w:t>
        </w:r>
      </w:hyperlink>
    </w:p>
    <w:p w:rsidR="00EF6DE3" w:rsidRDefault="00EF6DE3" w:rsidP="002D716F"/>
    <w:p w:rsidR="00EF6DE3" w:rsidRDefault="00EF6DE3" w:rsidP="002D716F">
      <w:r>
        <w:t>Farhana Yamin, “Why I broke the law for climate change,” 573 Nature 337 (2019)</w:t>
      </w:r>
    </w:p>
    <w:p w:rsidR="00EF6DE3" w:rsidRDefault="002F286D" w:rsidP="002D716F">
      <w:hyperlink r:id="rId20" w:history="1">
        <w:r w:rsidR="00EF6DE3" w:rsidRPr="00EF6DE3">
          <w:rPr>
            <w:color w:val="0000FF"/>
            <w:u w:val="single"/>
          </w:rPr>
          <w:t>https://www.nature.com/articles/d41586-019-02736-9</w:t>
        </w:r>
      </w:hyperlink>
    </w:p>
    <w:p w:rsidR="00EF6DE3" w:rsidRDefault="00EF6DE3" w:rsidP="002D716F"/>
    <w:p w:rsidR="003731A5" w:rsidRDefault="00904C1E" w:rsidP="002D716F">
      <w:r>
        <w:t>Sabin Center for Climate Change Law, Silencing Science Tracker (skim)</w:t>
      </w:r>
    </w:p>
    <w:p w:rsidR="00904C1E" w:rsidRDefault="002F286D" w:rsidP="002D716F">
      <w:hyperlink r:id="rId21" w:history="1">
        <w:r w:rsidR="00904C1E" w:rsidRPr="004E200B">
          <w:rPr>
            <w:rStyle w:val="Hyperlink"/>
          </w:rPr>
          <w:t>http://columbiaclimatelaw.com/resources/silencing-science-tracker/</w:t>
        </w:r>
      </w:hyperlink>
    </w:p>
    <w:p w:rsidR="00904C1E" w:rsidRDefault="00904C1E" w:rsidP="002D716F"/>
    <w:p w:rsidR="00904C1E" w:rsidRDefault="00904C1E" w:rsidP="002D716F"/>
    <w:p w:rsidR="00904C1E" w:rsidRPr="00131D4A" w:rsidRDefault="00904C1E" w:rsidP="002D716F"/>
    <w:p w:rsidR="002D716F" w:rsidRPr="002D716F" w:rsidRDefault="000E66C4" w:rsidP="002D716F">
      <w:pPr>
        <w:rPr>
          <w:b/>
        </w:rPr>
      </w:pPr>
      <w:r w:rsidRPr="000E66C4">
        <w:rPr>
          <w:b/>
        </w:rPr>
        <w:t xml:space="preserve">Class </w:t>
      </w:r>
      <w:r w:rsidR="00FD1B1A">
        <w:rPr>
          <w:b/>
        </w:rPr>
        <w:t>9</w:t>
      </w:r>
      <w:r w:rsidRPr="000E66C4">
        <w:rPr>
          <w:b/>
        </w:rPr>
        <w:t xml:space="preserve">: February </w:t>
      </w:r>
      <w:r w:rsidR="00C22629">
        <w:rPr>
          <w:b/>
        </w:rPr>
        <w:t>18</w:t>
      </w:r>
    </w:p>
    <w:p w:rsidR="002D716F" w:rsidRPr="002D716F" w:rsidRDefault="002D716F" w:rsidP="002D716F">
      <w:pPr>
        <w:rPr>
          <w:b/>
        </w:rPr>
      </w:pPr>
      <w:r w:rsidRPr="002D716F">
        <w:rPr>
          <w:b/>
        </w:rPr>
        <w:t>Clean Air Act I</w:t>
      </w:r>
      <w:r w:rsidR="007C69CA">
        <w:rPr>
          <w:b/>
        </w:rPr>
        <w:t>: Massachusetts v. EPA</w:t>
      </w:r>
      <w:r w:rsidR="00197CA5">
        <w:rPr>
          <w:b/>
        </w:rPr>
        <w:t>, Endangerment Finding, Cars Rule</w:t>
      </w:r>
    </w:p>
    <w:p w:rsidR="002D716F" w:rsidRPr="002D716F" w:rsidRDefault="002D716F" w:rsidP="002D716F">
      <w:pPr>
        <w:rPr>
          <w:b/>
        </w:rPr>
      </w:pPr>
    </w:p>
    <w:p w:rsidR="002D716F" w:rsidRPr="002D716F" w:rsidRDefault="002D716F" w:rsidP="002D716F">
      <w:r w:rsidRPr="002D716F">
        <w:t>Jonathan Martel, Chris Jaros, Zachary Fayne &amp; Shailesh Sahay, “Clean Air Regulation,” Chapter 4 in Gerrard &amp; Freeman</w:t>
      </w:r>
      <w:r w:rsidR="00730E9A">
        <w:t xml:space="preserve"> (skim)</w:t>
      </w:r>
    </w:p>
    <w:p w:rsidR="002D716F" w:rsidRPr="002D716F" w:rsidRDefault="002D716F" w:rsidP="002D716F"/>
    <w:p w:rsidR="002D716F" w:rsidRDefault="002D716F" w:rsidP="002D716F">
      <w:r w:rsidRPr="002D716F">
        <w:rPr>
          <w:i/>
        </w:rPr>
        <w:t>Massachusetts v. U.S. Environmental Protection Agency,</w:t>
      </w:r>
      <w:r w:rsidRPr="002D716F">
        <w:t xml:space="preserve"> 549 U.S. 497 (2007)</w:t>
      </w:r>
    </w:p>
    <w:p w:rsidR="00E43601" w:rsidRDefault="00E43601" w:rsidP="002D716F">
      <w:r>
        <w:t>(Majority opinion and Scalia and Roberts dissents).</w:t>
      </w:r>
    </w:p>
    <w:p w:rsidR="00E43601" w:rsidRDefault="00E43601" w:rsidP="002D716F">
      <w:r w:rsidRPr="00E43601">
        <w:t>https://www.oyez.org/cases/2006/05-1120</w:t>
      </w:r>
    </w:p>
    <w:p w:rsidR="00197CA5" w:rsidRDefault="00197CA5" w:rsidP="002D716F"/>
    <w:p w:rsidR="00197CA5" w:rsidRDefault="00197CA5" w:rsidP="00197CA5">
      <w:r w:rsidRPr="00197CA5">
        <w:rPr>
          <w:i/>
        </w:rPr>
        <w:t>Coalition for Responsible Regulation v. U.S. Environmental Protection Agency</w:t>
      </w:r>
      <w:r w:rsidRPr="00197CA5">
        <w:t>, 684 F.3d 102 (D.C. Cir. 2012) (excerpts)</w:t>
      </w:r>
      <w:r w:rsidR="00E43601">
        <w:t xml:space="preserve"> (Slip op. 15-44)</w:t>
      </w:r>
    </w:p>
    <w:p w:rsidR="00E43601" w:rsidRPr="00197CA5" w:rsidRDefault="00E43601" w:rsidP="00197CA5">
      <w:r w:rsidRPr="00E43601">
        <w:t>https://www.cadc.uscourts.gov/internet/opinions.nsf/52AC9DC9471D374685257A290052ACF6/$file/09-1322-1380690.pdf</w:t>
      </w:r>
    </w:p>
    <w:p w:rsidR="00197CA5" w:rsidRPr="002D716F" w:rsidRDefault="00197CA5" w:rsidP="002D716F"/>
    <w:p w:rsidR="002D716F" w:rsidRPr="002D716F" w:rsidRDefault="002D716F" w:rsidP="002D716F"/>
    <w:p w:rsidR="002D716F" w:rsidRPr="002D716F" w:rsidRDefault="000E66C4" w:rsidP="002D716F">
      <w:pPr>
        <w:rPr>
          <w:b/>
        </w:rPr>
      </w:pPr>
      <w:r w:rsidRPr="000E66C4">
        <w:rPr>
          <w:b/>
        </w:rPr>
        <w:t xml:space="preserve">Class </w:t>
      </w:r>
      <w:r w:rsidR="00FD1B1A">
        <w:rPr>
          <w:b/>
        </w:rPr>
        <w:t>10</w:t>
      </w:r>
      <w:r w:rsidRPr="000E66C4">
        <w:rPr>
          <w:b/>
        </w:rPr>
        <w:t xml:space="preserve">: February </w:t>
      </w:r>
      <w:r w:rsidR="00C22629">
        <w:rPr>
          <w:b/>
        </w:rPr>
        <w:t>20</w:t>
      </w:r>
    </w:p>
    <w:p w:rsidR="002D716F" w:rsidRPr="002D716F" w:rsidRDefault="002D716F" w:rsidP="002D716F">
      <w:pPr>
        <w:rPr>
          <w:b/>
        </w:rPr>
      </w:pPr>
      <w:r w:rsidRPr="002D716F">
        <w:rPr>
          <w:b/>
        </w:rPr>
        <w:t>Clean Air Act II</w:t>
      </w:r>
      <w:r w:rsidR="007C69CA">
        <w:rPr>
          <w:b/>
        </w:rPr>
        <w:t>: Tailoring Rule</w:t>
      </w:r>
      <w:r w:rsidR="0010423B">
        <w:rPr>
          <w:b/>
        </w:rPr>
        <w:t>, Clean Power Plan</w:t>
      </w:r>
      <w:r w:rsidR="00F43A0B">
        <w:rPr>
          <w:b/>
        </w:rPr>
        <w:t>, Affordable Clean Energy Rule</w:t>
      </w:r>
    </w:p>
    <w:p w:rsidR="00980979" w:rsidRDefault="00980979" w:rsidP="002D716F"/>
    <w:p w:rsidR="00980979" w:rsidRDefault="00980979" w:rsidP="002D716F">
      <w:r>
        <w:rPr>
          <w:i/>
        </w:rPr>
        <w:t>Utility Air Regulatory Group v. U.S. Environmental Protection Agency</w:t>
      </w:r>
      <w:r>
        <w:t>, 134 S.Ct. 2427 (2014)</w:t>
      </w:r>
      <w:r w:rsidR="00F22DCE">
        <w:t xml:space="preserve"> </w:t>
      </w:r>
    </w:p>
    <w:p w:rsidR="00EE6A88" w:rsidRPr="00980979" w:rsidRDefault="00EE6A88" w:rsidP="002D716F">
      <w:r w:rsidRPr="00EE6A88">
        <w:t>https://www.supremecourt.gov/opinions/13pdf/12-1146_4g18.pdf</w:t>
      </w:r>
    </w:p>
    <w:p w:rsidR="00AF4C03" w:rsidRDefault="00AF4C03" w:rsidP="002D716F"/>
    <w:p w:rsidR="002D716F" w:rsidRDefault="00967E0D" w:rsidP="002D716F">
      <w:r>
        <w:rPr>
          <w:i/>
        </w:rPr>
        <w:t>State of West Virginia v. EPA</w:t>
      </w:r>
      <w:r>
        <w:t xml:space="preserve"> (D.C. Circuit):</w:t>
      </w:r>
    </w:p>
    <w:p w:rsidR="00967E0D" w:rsidRDefault="00967E0D" w:rsidP="002D716F"/>
    <w:p w:rsidR="00967E0D" w:rsidRDefault="00967E0D" w:rsidP="00EE18F3">
      <w:pPr>
        <w:ind w:left="720"/>
      </w:pPr>
      <w:r>
        <w:t>Opening Brief of Petitioners on Core Legal Issues, pp. li – liii, 1-27</w:t>
      </w:r>
    </w:p>
    <w:p w:rsidR="00967E0D" w:rsidRDefault="00967E0D" w:rsidP="00EE18F3">
      <w:pPr>
        <w:ind w:left="720"/>
      </w:pPr>
    </w:p>
    <w:p w:rsidR="00967E0D" w:rsidRDefault="00967E0D" w:rsidP="00EE18F3">
      <w:pPr>
        <w:ind w:left="720"/>
      </w:pPr>
      <w:r>
        <w:t>Respondent EPA’s Final Brief, pp. xi – xvi, 1-23</w:t>
      </w:r>
    </w:p>
    <w:p w:rsidR="006240C2" w:rsidRDefault="006240C2" w:rsidP="002D716F"/>
    <w:p w:rsidR="00967E0D" w:rsidRDefault="00197CA5" w:rsidP="002D716F">
      <w:r>
        <w:rPr>
          <w:i/>
        </w:rPr>
        <w:t>State of West Virginia v. EPA</w:t>
      </w:r>
      <w:r>
        <w:t>, 136 S.Ct. 1000 (2016)</w:t>
      </w:r>
    </w:p>
    <w:p w:rsidR="00F43A0B" w:rsidRDefault="00F43A0B" w:rsidP="002D716F"/>
    <w:p w:rsidR="00F43A0B" w:rsidRDefault="00F43A0B" w:rsidP="002D716F">
      <w:r>
        <w:t>EPA fact sheets on proposed Affordable Clean Energy Rule (October 2018):</w:t>
      </w:r>
    </w:p>
    <w:p w:rsidR="00F43A0B" w:rsidRDefault="00F43A0B" w:rsidP="002D716F"/>
    <w:p w:rsidR="00F43A0B" w:rsidRDefault="00F43A0B" w:rsidP="002D716F">
      <w:r>
        <w:tab/>
        <w:t>Proposed Affordable Clean Energy Rule – Overview</w:t>
      </w:r>
    </w:p>
    <w:p w:rsidR="00F43A0B" w:rsidRDefault="00F43A0B" w:rsidP="002D716F">
      <w:r>
        <w:tab/>
      </w:r>
      <w:hyperlink r:id="rId22" w:history="1">
        <w:r w:rsidRPr="004E200B">
          <w:rPr>
            <w:rStyle w:val="Hyperlink"/>
          </w:rPr>
          <w:t>https://www.epa.gov/sites/production/files/2018-08/documents/ace_overview_0.pdf</w:t>
        </w:r>
      </w:hyperlink>
    </w:p>
    <w:p w:rsidR="00F43A0B" w:rsidRDefault="00F43A0B" w:rsidP="002D716F"/>
    <w:p w:rsidR="00F43A0B" w:rsidRDefault="00F43A0B" w:rsidP="002D716F">
      <w:r>
        <w:tab/>
        <w:t>Proposed ACE Rule – Legal Overview</w:t>
      </w:r>
    </w:p>
    <w:p w:rsidR="00F43A0B" w:rsidRDefault="00F43A0B" w:rsidP="002D716F">
      <w:r>
        <w:tab/>
      </w:r>
      <w:hyperlink r:id="rId23" w:history="1">
        <w:r w:rsidRPr="004E200B">
          <w:rPr>
            <w:rStyle w:val="Hyperlink"/>
          </w:rPr>
          <w:t>https://www.epa.gov/sites/production/files/2018-08/documents/ace_legal_bser.pdf</w:t>
        </w:r>
      </w:hyperlink>
    </w:p>
    <w:p w:rsidR="00F43A0B" w:rsidRDefault="00F43A0B" w:rsidP="002D716F"/>
    <w:p w:rsidR="00F43A0B" w:rsidRDefault="00F43A0B" w:rsidP="002D716F">
      <w:r>
        <w:tab/>
        <w:t>Proposed Affordable clean Energy Rule – Comparison of ACE and CPP</w:t>
      </w:r>
    </w:p>
    <w:p w:rsidR="00F43A0B" w:rsidRDefault="00F43A0B" w:rsidP="002D716F">
      <w:r>
        <w:tab/>
      </w:r>
      <w:hyperlink r:id="rId24" w:history="1">
        <w:r w:rsidRPr="004E200B">
          <w:rPr>
            <w:rStyle w:val="Hyperlink"/>
          </w:rPr>
          <w:t>https://www.epa.gov/sites/production/files/2018-08/documents/ace-cpp_side_by_side.pdf</w:t>
        </w:r>
      </w:hyperlink>
    </w:p>
    <w:p w:rsidR="00F43A0B" w:rsidRDefault="00F43A0B" w:rsidP="002D716F"/>
    <w:p w:rsidR="00F43A0B" w:rsidRDefault="003E14AB" w:rsidP="002D716F">
      <w:r>
        <w:t>Harvard University, Environmental &amp; Energy Law Program, “Legal Analysis of the Proposals to Repeal and Replace the Clean Power Plan” (October 2018)</w:t>
      </w:r>
    </w:p>
    <w:p w:rsidR="003E14AB" w:rsidRPr="00197CA5" w:rsidRDefault="002F286D" w:rsidP="002D716F">
      <w:hyperlink r:id="rId25" w:history="1">
        <w:r w:rsidR="003E14AB" w:rsidRPr="003E14AB">
          <w:rPr>
            <w:color w:val="0000FF"/>
            <w:u w:val="single"/>
          </w:rPr>
          <w:t>https://eelp.law.harvard.edu/2018/10/legal-analysis-of-the-proposals-to-repeal-and-replace-the-clean-power-plan/</w:t>
        </w:r>
      </w:hyperlink>
    </w:p>
    <w:p w:rsidR="003E14AB" w:rsidRDefault="003E14AB" w:rsidP="002D716F">
      <w:pPr>
        <w:rPr>
          <w:b/>
        </w:rPr>
      </w:pPr>
    </w:p>
    <w:p w:rsidR="002D716F" w:rsidRPr="002D716F" w:rsidRDefault="000E66C4" w:rsidP="002D716F">
      <w:pPr>
        <w:rPr>
          <w:b/>
        </w:rPr>
      </w:pPr>
      <w:r w:rsidRPr="000E66C4">
        <w:rPr>
          <w:b/>
        </w:rPr>
        <w:t xml:space="preserve">Class 11: February </w:t>
      </w:r>
      <w:r w:rsidR="00C22629">
        <w:rPr>
          <w:b/>
        </w:rPr>
        <w:t>25</w:t>
      </w:r>
    </w:p>
    <w:p w:rsidR="002D716F" w:rsidRPr="002D716F" w:rsidRDefault="0010423B" w:rsidP="002D716F">
      <w:pPr>
        <w:rPr>
          <w:b/>
        </w:rPr>
      </w:pPr>
      <w:r>
        <w:rPr>
          <w:b/>
        </w:rPr>
        <w:t>National Environmental Policy Act</w:t>
      </w:r>
    </w:p>
    <w:p w:rsidR="002D716F" w:rsidRPr="002D716F" w:rsidRDefault="002D716F" w:rsidP="002D716F"/>
    <w:p w:rsidR="002D716F" w:rsidRPr="002D716F" w:rsidRDefault="002D716F" w:rsidP="002D716F">
      <w:r w:rsidRPr="002D716F">
        <w:t>Paul Weiland, Robert Horton &amp; Erik Beck, “Environmental Impact Review,” Chapter 5 in Gerrard &amp; Freeman</w:t>
      </w:r>
    </w:p>
    <w:p w:rsidR="00860A16" w:rsidRDefault="00860A16" w:rsidP="002D716F"/>
    <w:p w:rsidR="008A0E33" w:rsidRDefault="008A0E33" w:rsidP="002D716F">
      <w:r>
        <w:t>U.S. Council on Environmental Quality, “Final Guidance for Federal Departments and Agencies on Consideration of Greenhouse Gas Emissions and the Effects of Climate Change in National Environmental Policy Act Reviews” (August 1, 2016)</w:t>
      </w:r>
      <w:r w:rsidR="00EE6A88">
        <w:t xml:space="preserve"> (withdrawn in 2017)</w:t>
      </w:r>
      <w:r w:rsidR="00BD3E03">
        <w:t xml:space="preserve"> (skim)</w:t>
      </w:r>
    </w:p>
    <w:p w:rsidR="00EE6A88" w:rsidRDefault="002F286D" w:rsidP="002D716F">
      <w:hyperlink r:id="rId26" w:history="1">
        <w:r w:rsidR="000D6530" w:rsidRPr="000478D0">
          <w:rPr>
            <w:rStyle w:val="Hyperlink"/>
          </w:rPr>
          <w:t>https://obamawhitehouse.archives.gov/sites/whitehouse.gov/files/documents/nepa_final_ghg_guidance.pdf</w:t>
        </w:r>
      </w:hyperlink>
    </w:p>
    <w:p w:rsidR="000D6530" w:rsidRDefault="000D6530" w:rsidP="002D716F"/>
    <w:p w:rsidR="00EC0854" w:rsidRDefault="002A2F86" w:rsidP="002D716F">
      <w:r w:rsidRPr="00131D4A">
        <w:rPr>
          <w:i/>
        </w:rPr>
        <w:t>Sierra Club v. Federal Energy Regulatory Commission</w:t>
      </w:r>
      <w:r>
        <w:t>, 667 F.3d 1357 (D.C. Cir.</w:t>
      </w:r>
      <w:r w:rsidR="000809E6">
        <w:t xml:space="preserve"> August 22,</w:t>
      </w:r>
      <w:r>
        <w:t xml:space="preserve"> 2017) (excerpts)</w:t>
      </w:r>
    </w:p>
    <w:p w:rsidR="002A2F86" w:rsidRDefault="00874F54" w:rsidP="002D716F">
      <w:r>
        <w:t>(Slip op. pp. 1-5, 10-</w:t>
      </w:r>
      <w:r w:rsidR="003C04E5">
        <w:t>12, 18-27, dissent pp. 1-8)</w:t>
      </w:r>
    </w:p>
    <w:p w:rsidR="003C04E5" w:rsidRDefault="002F286D" w:rsidP="002D716F">
      <w:hyperlink r:id="rId27" w:history="1">
        <w:r w:rsidR="003C04E5" w:rsidRPr="004E200B">
          <w:rPr>
            <w:rStyle w:val="Hyperlink"/>
          </w:rPr>
          <w:t>http://climatecasechart.com/case/in-re-florida-southeast-connection-llc/</w:t>
        </w:r>
      </w:hyperlink>
    </w:p>
    <w:p w:rsidR="003C04E5" w:rsidRDefault="003C04E5" w:rsidP="002D716F"/>
    <w:p w:rsidR="002D716F" w:rsidRDefault="002D716F" w:rsidP="002D716F"/>
    <w:p w:rsidR="00EE18F3" w:rsidRDefault="0010423B" w:rsidP="002D716F">
      <w:pPr>
        <w:rPr>
          <w:b/>
        </w:rPr>
      </w:pPr>
      <w:r>
        <w:rPr>
          <w:b/>
        </w:rPr>
        <w:t>Class 12: February</w:t>
      </w:r>
      <w:r w:rsidR="00AD06FC">
        <w:rPr>
          <w:b/>
        </w:rPr>
        <w:t xml:space="preserve"> </w:t>
      </w:r>
      <w:r w:rsidR="00C22629">
        <w:rPr>
          <w:b/>
        </w:rPr>
        <w:t>27</w:t>
      </w:r>
    </w:p>
    <w:p w:rsidR="0010423B" w:rsidRDefault="0010423B" w:rsidP="002D716F">
      <w:pPr>
        <w:rPr>
          <w:b/>
        </w:rPr>
      </w:pPr>
      <w:r>
        <w:rPr>
          <w:b/>
        </w:rPr>
        <w:t>Securities Disclosures Laws</w:t>
      </w:r>
    </w:p>
    <w:p w:rsidR="0010423B" w:rsidRDefault="0010423B" w:rsidP="002D716F">
      <w:pPr>
        <w:rPr>
          <w:b/>
        </w:rPr>
      </w:pPr>
    </w:p>
    <w:p w:rsidR="0010423B" w:rsidRDefault="0010423B" w:rsidP="002D716F">
      <w:r w:rsidRPr="00B7719E">
        <w:t>Matthew Morreale, “Corporate Disclosure Considerations Related to Climate Change,” Chapter 7 in Gerrard &amp; Freeman</w:t>
      </w:r>
    </w:p>
    <w:p w:rsidR="003E14AB" w:rsidRDefault="003E14AB" w:rsidP="002D716F"/>
    <w:p w:rsidR="003E14AB" w:rsidRDefault="003E14AB" w:rsidP="002D716F">
      <w:r>
        <w:t>Mark Carney, “Breaking the tragedy on the horizon – climate change and financial stability” (Bank of England, September 29, 2015)</w:t>
      </w:r>
    </w:p>
    <w:p w:rsidR="003E14AB" w:rsidRDefault="002F286D" w:rsidP="002D716F">
      <w:hyperlink r:id="rId28" w:history="1">
        <w:r w:rsidR="003E14AB" w:rsidRPr="003E14AB">
          <w:rPr>
            <w:color w:val="0000FF"/>
            <w:u w:val="single"/>
          </w:rPr>
          <w:t>https://www.bis.org/review/r151009a.pdf</w:t>
        </w:r>
      </w:hyperlink>
    </w:p>
    <w:p w:rsidR="0010423B" w:rsidRDefault="0010423B" w:rsidP="002D716F"/>
    <w:p w:rsidR="0010423B" w:rsidRDefault="003F7203" w:rsidP="002D716F">
      <w:r>
        <w:t>Task Force on Climate-related Financial Disclosures, Final Report – Executive Summary (June 2017)</w:t>
      </w:r>
      <w:r w:rsidR="00EE6A88">
        <w:t xml:space="preserve"> (</w:t>
      </w:r>
      <w:r w:rsidR="000809E6">
        <w:t xml:space="preserve">read </w:t>
      </w:r>
      <w:r w:rsidR="00EE6A88">
        <w:t>pp. ii-v</w:t>
      </w:r>
      <w:r w:rsidR="000809E6">
        <w:t>; skim rest)</w:t>
      </w:r>
    </w:p>
    <w:p w:rsidR="00EE6A88" w:rsidRDefault="00EE6A88" w:rsidP="002D716F">
      <w:r w:rsidRPr="00EE6A88">
        <w:t>https://www.fsb-tcfd.org/wp-content/uploads/2017/06/FINAL-2017-TCFD-Report-11052018.pdf</w:t>
      </w:r>
    </w:p>
    <w:p w:rsidR="0010423B" w:rsidRDefault="0010423B" w:rsidP="002D716F"/>
    <w:p w:rsidR="00711FA6" w:rsidRDefault="00711FA6" w:rsidP="002D716F">
      <w:r w:rsidRPr="00131D4A">
        <w:rPr>
          <w:i/>
        </w:rPr>
        <w:t>Exxon Mobil Corp. v. Schneiderman</w:t>
      </w:r>
      <w:r>
        <w:t>, 316 F.Supp.3d 679 (SDNY 2018) (excerpts)</w:t>
      </w:r>
    </w:p>
    <w:p w:rsidR="003C04E5" w:rsidRDefault="003C04E5" w:rsidP="002D716F">
      <w:r>
        <w:t>(Slip op. pp. 1-15, 32-48)</w:t>
      </w:r>
    </w:p>
    <w:p w:rsidR="003C04E5" w:rsidRDefault="003C04E5" w:rsidP="002D716F">
      <w:r w:rsidRPr="003C04E5">
        <w:t>https://ag.ny.gov/sites/default/files/2018_03_29_opinion_order.pdf</w:t>
      </w:r>
    </w:p>
    <w:p w:rsidR="00711FA6" w:rsidRDefault="00711FA6" w:rsidP="002D716F"/>
    <w:p w:rsidR="0010423B" w:rsidRDefault="00711FA6" w:rsidP="009B7E77">
      <w:r w:rsidRPr="00131D4A">
        <w:rPr>
          <w:i/>
        </w:rPr>
        <w:t>People of the State of New York v. Exxon Mobil Corp</w:t>
      </w:r>
      <w:r>
        <w:t xml:space="preserve">., Index No. 452044/2018 (N.Y. Sup. Ct., </w:t>
      </w:r>
      <w:r w:rsidR="009B7E77">
        <w:t>December 10, 2019)</w:t>
      </w:r>
    </w:p>
    <w:p w:rsidR="009B7E77" w:rsidRDefault="009B7E77" w:rsidP="009B7E77">
      <w:r>
        <w:t>(Read p. 1-3, 5-10, 28-38, 54-55; skim the rest)</w:t>
      </w:r>
    </w:p>
    <w:p w:rsidR="009B7E77" w:rsidRDefault="002F286D" w:rsidP="009B7E77">
      <w:hyperlink r:id="rId29" w:history="1">
        <w:r w:rsidR="009B7E77" w:rsidRPr="009B7E77">
          <w:rPr>
            <w:color w:val="0000FF"/>
            <w:u w:val="single"/>
          </w:rPr>
          <w:t>http://blogs2.law.columbia.edu/climate-change-litigation/wp-content/uploads/sites/16/case-documents/2019/20191210_docket-4520442018_decision.pdf</w:t>
        </w:r>
      </w:hyperlink>
    </w:p>
    <w:p w:rsidR="009B7E77" w:rsidRDefault="009B7E77" w:rsidP="009B7E77"/>
    <w:p w:rsidR="009B7E77" w:rsidRDefault="009B7E77" w:rsidP="009B7E77">
      <w:r w:rsidRPr="00131D4A">
        <w:rPr>
          <w:i/>
        </w:rPr>
        <w:t>Pedro Ramirez, Jr. v. Exxon Mobil Corp.,</w:t>
      </w:r>
      <w:r>
        <w:t xml:space="preserve"> Civ.No. 3:16-CV-3111-K (N.D. TX Aug. 14, 2018) (excerpts)</w:t>
      </w:r>
    </w:p>
    <w:p w:rsidR="009B7E77" w:rsidRDefault="009B7E77" w:rsidP="009B7E77">
      <w:r>
        <w:t>(Slip op. 1-5, 13, 15-19, 42-47)</w:t>
      </w:r>
    </w:p>
    <w:p w:rsidR="009B7E77" w:rsidRDefault="002F286D" w:rsidP="009B7E77">
      <w:hyperlink r:id="rId30" w:history="1">
        <w:r w:rsidR="009B7E77" w:rsidRPr="004E200B">
          <w:rPr>
            <w:rStyle w:val="Hyperlink"/>
          </w:rPr>
          <w:t>http://securities.stanford.edu/filings-documents/1059/EMC00_02/2018814_r01x_16CV03111.pdf</w:t>
        </w:r>
      </w:hyperlink>
    </w:p>
    <w:p w:rsidR="009B7E77" w:rsidRPr="0010423B" w:rsidRDefault="009B7E77" w:rsidP="009B7E77"/>
    <w:p w:rsidR="00EE18F3" w:rsidRDefault="00EE18F3" w:rsidP="002D716F"/>
    <w:p w:rsidR="00212E9C" w:rsidRPr="002D716F" w:rsidRDefault="00212E9C" w:rsidP="002D716F"/>
    <w:p w:rsidR="002D716F" w:rsidRPr="00EE18F3" w:rsidRDefault="000E66C4" w:rsidP="002D716F">
      <w:pPr>
        <w:rPr>
          <w:b/>
        </w:rPr>
      </w:pPr>
      <w:r w:rsidRPr="00EE18F3">
        <w:rPr>
          <w:b/>
        </w:rPr>
        <w:t xml:space="preserve">Class </w:t>
      </w:r>
      <w:r w:rsidR="001752CC">
        <w:rPr>
          <w:b/>
        </w:rPr>
        <w:t>13</w:t>
      </w:r>
      <w:r w:rsidRPr="00EE18F3">
        <w:rPr>
          <w:b/>
        </w:rPr>
        <w:t xml:space="preserve">: </w:t>
      </w:r>
      <w:r w:rsidR="007D7796">
        <w:rPr>
          <w:b/>
        </w:rPr>
        <w:t xml:space="preserve">March </w:t>
      </w:r>
      <w:r w:rsidR="00C22629">
        <w:rPr>
          <w:b/>
        </w:rPr>
        <w:t>3</w:t>
      </w:r>
    </w:p>
    <w:p w:rsidR="002D716F" w:rsidRPr="002D716F" w:rsidRDefault="002D716F" w:rsidP="002D716F">
      <w:pPr>
        <w:rPr>
          <w:b/>
        </w:rPr>
      </w:pPr>
      <w:r w:rsidRPr="002D716F">
        <w:rPr>
          <w:b/>
        </w:rPr>
        <w:t>Endangered Species Act</w:t>
      </w:r>
    </w:p>
    <w:p w:rsidR="002D716F" w:rsidRPr="002D716F" w:rsidRDefault="002D716F" w:rsidP="002D716F">
      <w:pPr>
        <w:rPr>
          <w:i/>
        </w:rPr>
      </w:pPr>
    </w:p>
    <w:p w:rsidR="002D716F" w:rsidRPr="002D716F" w:rsidRDefault="002D716F" w:rsidP="002D716F">
      <w:r w:rsidRPr="002D716F">
        <w:t>Dave Owen, “Endangered Species Act,” Chapter 6 in Gerrard &amp; Freeman</w:t>
      </w:r>
    </w:p>
    <w:p w:rsidR="002D716F" w:rsidRPr="002D716F" w:rsidRDefault="002D716F" w:rsidP="002D716F"/>
    <w:p w:rsidR="002D716F" w:rsidRDefault="002D716F" w:rsidP="002D716F">
      <w:r w:rsidRPr="002D716F">
        <w:rPr>
          <w:i/>
        </w:rPr>
        <w:t>In re Polar Bear Endangered Species Act listing and Section 4(d) Rule Litigation</w:t>
      </w:r>
      <w:r w:rsidRPr="002D716F">
        <w:t>, 709 F.3d 1 (D.C. Cir.</w:t>
      </w:r>
      <w:r w:rsidR="002B297B">
        <w:t xml:space="preserve"> </w:t>
      </w:r>
      <w:r w:rsidR="008E1FBC">
        <w:t xml:space="preserve"> </w:t>
      </w:r>
      <w:r w:rsidRPr="002D716F">
        <w:t>2013)</w:t>
      </w:r>
    </w:p>
    <w:p w:rsidR="002D716F" w:rsidRDefault="002F286D" w:rsidP="002D716F">
      <w:hyperlink r:id="rId31" w:history="1">
        <w:r w:rsidR="009062EE" w:rsidRPr="000478D0">
          <w:rPr>
            <w:rStyle w:val="Hyperlink"/>
          </w:rPr>
          <w:t>https://www.cadc.uscourts.gov/internet/opinions.nsf/27B0BE9562811E2485257B2100550BFF/$file/11-5219.pdf</w:t>
        </w:r>
      </w:hyperlink>
    </w:p>
    <w:p w:rsidR="009062EE" w:rsidRPr="002D716F" w:rsidRDefault="009062EE" w:rsidP="002D716F"/>
    <w:p w:rsidR="002D716F" w:rsidRDefault="002D716F" w:rsidP="002D716F">
      <w:r w:rsidRPr="002D716F">
        <w:t xml:space="preserve">J.B. Ruhl, “Climate Change and the Endangered Species Act: Building Bridges to the No-Analog Future,” 39 </w:t>
      </w:r>
      <w:r w:rsidRPr="002D716F">
        <w:rPr>
          <w:i/>
        </w:rPr>
        <w:t>Environmental Law Reporter</w:t>
      </w:r>
      <w:r w:rsidRPr="002D716F">
        <w:t xml:space="preserve"> 10735 (August 2009)</w:t>
      </w:r>
    </w:p>
    <w:p w:rsidR="002B297B" w:rsidRDefault="002B297B" w:rsidP="002D716F">
      <w:r w:rsidRPr="002B297B">
        <w:t>https://law.vanderbilt.edu/files/archive/Ruhl-2009.pdf</w:t>
      </w:r>
    </w:p>
    <w:p w:rsidR="002B297B" w:rsidRPr="002D716F" w:rsidRDefault="002B297B" w:rsidP="002D716F"/>
    <w:p w:rsidR="002D716F" w:rsidRPr="002D716F" w:rsidRDefault="002D716F" w:rsidP="002D716F">
      <w:r w:rsidRPr="002D716F">
        <w:lastRenderedPageBreak/>
        <w:t xml:space="preserve">Anna T. Moritz et al., “Biodiversity Baking and Boiling: Endangered Species Act Turning Down the Heat,” 44 </w:t>
      </w:r>
      <w:r w:rsidRPr="002D716F">
        <w:rPr>
          <w:i/>
        </w:rPr>
        <w:t>Tulsa L. Rev.</w:t>
      </w:r>
      <w:r w:rsidRPr="002D716F">
        <w:t xml:space="preserve"> 205 (2008)</w:t>
      </w:r>
      <w:r w:rsidR="004D44BF">
        <w:t xml:space="preserve"> (read 205-07, 234; skim rest)</w:t>
      </w:r>
    </w:p>
    <w:p w:rsidR="002D716F" w:rsidRDefault="002F286D" w:rsidP="002D716F">
      <w:hyperlink r:id="rId32" w:history="1">
        <w:r w:rsidR="002B297B" w:rsidRPr="004E200B">
          <w:rPr>
            <w:rStyle w:val="Hyperlink"/>
          </w:rPr>
          <w:t>https://digitalcommons.law.uw.edu/cgi/viewcontent.cgi?article=1239&amp;context=faculty-articles</w:t>
        </w:r>
      </w:hyperlink>
    </w:p>
    <w:p w:rsidR="002B297B" w:rsidRDefault="002B297B" w:rsidP="002D716F"/>
    <w:p w:rsidR="00212E9C" w:rsidRPr="002D716F" w:rsidRDefault="00212E9C" w:rsidP="002D716F"/>
    <w:p w:rsidR="002D716F" w:rsidRPr="00EE18F3" w:rsidRDefault="000E66C4" w:rsidP="002D716F">
      <w:pPr>
        <w:rPr>
          <w:b/>
        </w:rPr>
      </w:pPr>
      <w:r w:rsidRPr="00EE18F3">
        <w:rPr>
          <w:b/>
        </w:rPr>
        <w:t xml:space="preserve">Class </w:t>
      </w:r>
      <w:r w:rsidR="001752CC">
        <w:rPr>
          <w:b/>
        </w:rPr>
        <w:t>14</w:t>
      </w:r>
      <w:r w:rsidRPr="00EE18F3">
        <w:rPr>
          <w:b/>
        </w:rPr>
        <w:t xml:space="preserve">: </w:t>
      </w:r>
      <w:r w:rsidR="00AD06FC">
        <w:rPr>
          <w:b/>
        </w:rPr>
        <w:t xml:space="preserve">March </w:t>
      </w:r>
      <w:r w:rsidR="00C22629">
        <w:rPr>
          <w:b/>
        </w:rPr>
        <w:t>5</w:t>
      </w:r>
    </w:p>
    <w:p w:rsidR="002D716F" w:rsidRPr="002D716F" w:rsidRDefault="002D716F" w:rsidP="002D716F">
      <w:pPr>
        <w:rPr>
          <w:b/>
        </w:rPr>
      </w:pPr>
      <w:r w:rsidRPr="002D716F">
        <w:rPr>
          <w:b/>
        </w:rPr>
        <w:t>Public nuisance litigation</w:t>
      </w:r>
    </w:p>
    <w:p w:rsidR="002D716F" w:rsidRPr="002D716F" w:rsidRDefault="002D716F" w:rsidP="002D716F">
      <w:pPr>
        <w:rPr>
          <w:b/>
        </w:rPr>
      </w:pPr>
    </w:p>
    <w:p w:rsidR="002D716F" w:rsidRPr="002D716F" w:rsidRDefault="002D716F" w:rsidP="002D716F">
      <w:r w:rsidRPr="002D716F">
        <w:t>Emily Hammond &amp; David L. Markell, “Civil Remedies,” Chapter 8 in Gerrard &amp; Freeman</w:t>
      </w:r>
    </w:p>
    <w:p w:rsidR="002D716F" w:rsidRPr="002D716F" w:rsidRDefault="002D716F" w:rsidP="002D716F"/>
    <w:p w:rsidR="002D716F" w:rsidRDefault="002D716F" w:rsidP="002D716F">
      <w:r w:rsidRPr="002D716F">
        <w:rPr>
          <w:i/>
        </w:rPr>
        <w:t>American Electric Power v. Connecticut</w:t>
      </w:r>
      <w:r w:rsidRPr="002D716F">
        <w:t xml:space="preserve">, 564 U.S. </w:t>
      </w:r>
      <w:r w:rsidR="00AA2499">
        <w:t>410</w:t>
      </w:r>
      <w:r w:rsidR="00B7719E">
        <w:t xml:space="preserve"> </w:t>
      </w:r>
      <w:r w:rsidRPr="002D716F">
        <w:t>(2011)</w:t>
      </w:r>
    </w:p>
    <w:p w:rsidR="002B297B" w:rsidRPr="002D716F" w:rsidRDefault="002B297B" w:rsidP="002D716F">
      <w:r w:rsidRPr="002B297B">
        <w:t>https://www.supremecourt.gov/opinions/10pdf/10-174.pdf</w:t>
      </w:r>
    </w:p>
    <w:p w:rsidR="002D716F" w:rsidRPr="002D716F" w:rsidRDefault="002D716F" w:rsidP="002D716F"/>
    <w:p w:rsidR="002D716F" w:rsidRDefault="002D716F" w:rsidP="002D716F">
      <w:r w:rsidRPr="002D716F">
        <w:rPr>
          <w:i/>
        </w:rPr>
        <w:t xml:space="preserve">Native Village of Kivalina v. ExxonMobil Corp., </w:t>
      </w:r>
      <w:r w:rsidRPr="002D716F">
        <w:t>696 F.3d 839 (9</w:t>
      </w:r>
      <w:r w:rsidRPr="002D716F">
        <w:rPr>
          <w:vertAlign w:val="superscript"/>
        </w:rPr>
        <w:t>th</w:t>
      </w:r>
      <w:r w:rsidRPr="002D716F">
        <w:t xml:space="preserve"> Cir. 2012)</w:t>
      </w:r>
      <w:r w:rsidR="002B297B">
        <w:t>, cert. den.</w:t>
      </w:r>
      <w:r>
        <w:t xml:space="preserve"> (excerpts)</w:t>
      </w:r>
      <w:r w:rsidR="002B297B">
        <w:t xml:space="preserve"> (Slip op. pp. 11647-11657)</w:t>
      </w:r>
    </w:p>
    <w:p w:rsidR="00711FA6" w:rsidRDefault="002F286D" w:rsidP="002D716F">
      <w:hyperlink r:id="rId33" w:history="1">
        <w:r w:rsidR="009062EE" w:rsidRPr="000478D0">
          <w:rPr>
            <w:rStyle w:val="Hyperlink"/>
          </w:rPr>
          <w:t>http://blogs2.law.columbia.edu/climate-change-litigation/wp-content/uploads/sites/16/case-documents/2012/20120921_docket-09-17490_opinion.pdf</w:t>
        </w:r>
      </w:hyperlink>
    </w:p>
    <w:p w:rsidR="009062EE" w:rsidRDefault="009062EE" w:rsidP="002D716F"/>
    <w:p w:rsidR="00711FA6" w:rsidRDefault="00711FA6" w:rsidP="002D716F">
      <w:r>
        <w:rPr>
          <w:i/>
        </w:rPr>
        <w:t>City of New York v. BP P.L.C.</w:t>
      </w:r>
      <w:r>
        <w:t>, 18 Civ. 182 (JFK) (SDNY July 19, 2018)</w:t>
      </w:r>
    </w:p>
    <w:p w:rsidR="002D716F" w:rsidRDefault="002F286D" w:rsidP="002D716F">
      <w:hyperlink r:id="rId34" w:history="1">
        <w:r w:rsidR="005873B0" w:rsidRPr="000478D0">
          <w:rPr>
            <w:rStyle w:val="Hyperlink"/>
          </w:rPr>
          <w:t>https://casetext.com/case/city-of-ny-v-bp-p-lc</w:t>
        </w:r>
      </w:hyperlink>
    </w:p>
    <w:p w:rsidR="005873B0" w:rsidRPr="002D716F" w:rsidRDefault="005873B0" w:rsidP="002D716F"/>
    <w:p w:rsidR="002D716F" w:rsidRDefault="002D716F" w:rsidP="002D716F">
      <w:r w:rsidRPr="002D716F">
        <w:t xml:space="preserve">Michael B. Gerrard, “What Litigation of a Climate Nuisance Suit Might Look Like,” 121 </w:t>
      </w:r>
      <w:r w:rsidRPr="002D716F">
        <w:rPr>
          <w:i/>
        </w:rPr>
        <w:t>Yale Law Journal Online</w:t>
      </w:r>
      <w:r w:rsidRPr="002D716F">
        <w:t xml:space="preserve"> 135 (2011)</w:t>
      </w:r>
    </w:p>
    <w:p w:rsidR="002B297B" w:rsidRPr="002D716F" w:rsidRDefault="002B297B" w:rsidP="002D716F">
      <w:r w:rsidRPr="002B297B">
        <w:t>https://www.yalelawjournal.org/forum/what-litigation-of-a-clima</w:t>
      </w:r>
      <w:r w:rsidR="009062EE">
        <w:t>te-nuisance-suit-might-look-like</w:t>
      </w:r>
    </w:p>
    <w:p w:rsidR="002D716F" w:rsidRDefault="002D716F" w:rsidP="002D716F">
      <w:pPr>
        <w:rPr>
          <w:b/>
        </w:rPr>
      </w:pPr>
    </w:p>
    <w:p w:rsidR="00EE18F3" w:rsidRPr="00EE18F3" w:rsidRDefault="00EE18F3" w:rsidP="002D716F">
      <w:pPr>
        <w:rPr>
          <w:b/>
        </w:rPr>
      </w:pPr>
    </w:p>
    <w:p w:rsidR="002D716F" w:rsidRPr="00EE18F3" w:rsidRDefault="000E66C4" w:rsidP="002D716F">
      <w:pPr>
        <w:rPr>
          <w:b/>
        </w:rPr>
      </w:pPr>
      <w:r w:rsidRPr="00EE18F3">
        <w:rPr>
          <w:b/>
        </w:rPr>
        <w:t xml:space="preserve">Class </w:t>
      </w:r>
      <w:r w:rsidR="001752CC">
        <w:rPr>
          <w:b/>
        </w:rPr>
        <w:t>15</w:t>
      </w:r>
      <w:r w:rsidRPr="00EE18F3">
        <w:rPr>
          <w:b/>
        </w:rPr>
        <w:t>: March</w:t>
      </w:r>
      <w:r w:rsidR="00C22629">
        <w:rPr>
          <w:b/>
        </w:rPr>
        <w:t xml:space="preserve"> 10</w:t>
      </w:r>
    </w:p>
    <w:p w:rsidR="002D716F" w:rsidRPr="002D716F" w:rsidRDefault="001752CC" w:rsidP="002D716F">
      <w:pPr>
        <w:rPr>
          <w:b/>
        </w:rPr>
      </w:pPr>
      <w:r>
        <w:rPr>
          <w:b/>
        </w:rPr>
        <w:t>Constitutional and public trust claims</w:t>
      </w:r>
    </w:p>
    <w:p w:rsidR="004D44BF" w:rsidRDefault="004D44BF" w:rsidP="002D716F"/>
    <w:p w:rsidR="00EC1637" w:rsidRDefault="0088697C" w:rsidP="00EA2173">
      <w:r>
        <w:rPr>
          <w:i/>
        </w:rPr>
        <w:t>Juliana v. United States</w:t>
      </w:r>
      <w:r>
        <w:t xml:space="preserve">, </w:t>
      </w:r>
      <w:r w:rsidR="00EA2173">
        <w:t>___ F.3d ____ (9</w:t>
      </w:r>
      <w:r w:rsidR="00EA2173" w:rsidRPr="00EA2173">
        <w:rPr>
          <w:vertAlign w:val="superscript"/>
        </w:rPr>
        <w:t>th</w:t>
      </w:r>
      <w:r w:rsidR="00EA2173">
        <w:t xml:space="preserve"> Cir., Jan. 17, 2020)</w:t>
      </w:r>
    </w:p>
    <w:p w:rsidR="00EA2173" w:rsidRDefault="00EA2173" w:rsidP="00EA2173">
      <w:hyperlink r:id="rId35" w:history="1">
        <w:r w:rsidRPr="00EA2173">
          <w:rPr>
            <w:color w:val="0000FF"/>
            <w:u w:val="single"/>
          </w:rPr>
          <w:t>http://cdn.ca9.uscourts.gov/datastore/opinions/2020/01/17/18-36082.pdf</w:t>
        </w:r>
      </w:hyperlink>
    </w:p>
    <w:p w:rsidR="0088697C" w:rsidRDefault="0088697C" w:rsidP="0088697C"/>
    <w:p w:rsidR="00EA2173" w:rsidRDefault="00EA2173" w:rsidP="00EA2173">
      <w:r w:rsidRPr="006346A2">
        <w:rPr>
          <w:i/>
        </w:rPr>
        <w:t>State of the Netherlands v. Urgenda Foundation</w:t>
      </w:r>
      <w:r w:rsidRPr="006346A2">
        <w:t xml:space="preserve">, </w:t>
      </w:r>
      <w:r>
        <w:t>Supreme Court of the Netherlands (December 20, 2019)</w:t>
      </w:r>
    </w:p>
    <w:p w:rsidR="00EA2173" w:rsidRPr="006346A2" w:rsidRDefault="00EA2173" w:rsidP="00EA2173">
      <w:r w:rsidRPr="006346A2">
        <w:t xml:space="preserve"> </w:t>
      </w:r>
      <w:r>
        <w:t>Read pp. 1-7 of Supreme Court Judgment in English, 01/13/2020</w:t>
      </w:r>
    </w:p>
    <w:p w:rsidR="00EA2173" w:rsidRPr="006346A2" w:rsidRDefault="00EA2173" w:rsidP="00EA2173">
      <w:hyperlink r:id="rId36" w:history="1">
        <w:r w:rsidRPr="00146C54">
          <w:rPr>
            <w:color w:val="0000FF"/>
            <w:u w:val="single"/>
          </w:rPr>
          <w:t>http://climatecasechart.com/non-us-case/urgenda-foundation-v-kingdom-of-the-netherlands/</w:t>
        </w:r>
      </w:hyperlink>
    </w:p>
    <w:p w:rsidR="006B4B98" w:rsidRDefault="006B4B98" w:rsidP="00762A3D">
      <w:bookmarkStart w:id="0" w:name="_GoBack"/>
      <w:bookmarkEnd w:id="0"/>
    </w:p>
    <w:p w:rsidR="006B4B98" w:rsidRDefault="006B4B98" w:rsidP="00762A3D">
      <w:r>
        <w:t>Marjan Minnesma, “Not slashing emissions? See you in court,” 576 Nature 379 (December 19, 2019)</w:t>
      </w:r>
    </w:p>
    <w:p w:rsidR="006B4B98" w:rsidRPr="00211012" w:rsidRDefault="002F286D" w:rsidP="00762A3D">
      <w:hyperlink r:id="rId37" w:history="1">
        <w:r w:rsidR="006B4B98" w:rsidRPr="006B4B98">
          <w:rPr>
            <w:color w:val="0000FF"/>
            <w:u w:val="single"/>
          </w:rPr>
          <w:t>https://www.nature.com/articles/d41586-019-03841-5</w:t>
        </w:r>
      </w:hyperlink>
    </w:p>
    <w:p w:rsidR="00211012" w:rsidRDefault="00211012" w:rsidP="002D716F"/>
    <w:p w:rsidR="004A3CE2" w:rsidRDefault="0088697C" w:rsidP="002D716F">
      <w:r>
        <w:t xml:space="preserve">Oliver A. Houck, The children’s climate case: Our obligation to future generations, </w:t>
      </w:r>
      <w:r w:rsidRPr="00131D4A">
        <w:rPr>
          <w:i/>
        </w:rPr>
        <w:t>The Hill</w:t>
      </w:r>
      <w:r>
        <w:t xml:space="preserve"> (November 6, 2018)</w:t>
      </w:r>
    </w:p>
    <w:p w:rsidR="0088697C" w:rsidRDefault="002F286D" w:rsidP="002D716F">
      <w:hyperlink r:id="rId38" w:history="1">
        <w:r w:rsidR="0088697C" w:rsidRPr="004E200B">
          <w:rPr>
            <w:rStyle w:val="Hyperlink"/>
          </w:rPr>
          <w:t>https://thehill.com/opinion/energy-environment/415307-the-childrens-climate-case-our-obligation-to-future-generations</w:t>
        </w:r>
      </w:hyperlink>
    </w:p>
    <w:p w:rsidR="0088697C" w:rsidRDefault="0088697C" w:rsidP="002D716F"/>
    <w:p w:rsidR="0088697C" w:rsidRDefault="00C43032" w:rsidP="002D716F">
      <w:r>
        <w:t xml:space="preserve">James Huffman, Previously Unrecognized Rights: Climate Change Lawsuits and the Rule of Law, </w:t>
      </w:r>
      <w:r w:rsidRPr="00131D4A">
        <w:rPr>
          <w:i/>
        </w:rPr>
        <w:t>Quillette,</w:t>
      </w:r>
      <w:r>
        <w:t xml:space="preserve"> October 30, 2018</w:t>
      </w:r>
    </w:p>
    <w:p w:rsidR="00C43032" w:rsidRDefault="002F286D" w:rsidP="002D716F">
      <w:hyperlink r:id="rId39" w:history="1">
        <w:r w:rsidR="00C43032" w:rsidRPr="004E200B">
          <w:rPr>
            <w:rStyle w:val="Hyperlink"/>
          </w:rPr>
          <w:t>https://quillette.com/2018/10/30/previously-unrecognized-rights-climate-change-lawsuits-and-the-rule-of-law/</w:t>
        </w:r>
      </w:hyperlink>
    </w:p>
    <w:p w:rsidR="00C43032" w:rsidRDefault="00C43032" w:rsidP="002D716F"/>
    <w:p w:rsidR="00C43032" w:rsidRDefault="00C43032" w:rsidP="002D716F"/>
    <w:p w:rsidR="0088697C" w:rsidRDefault="0088697C" w:rsidP="002D716F"/>
    <w:p w:rsidR="000601E6" w:rsidRPr="00EE18F3" w:rsidRDefault="000E66C4" w:rsidP="002D716F">
      <w:pPr>
        <w:rPr>
          <w:b/>
        </w:rPr>
      </w:pPr>
      <w:r w:rsidRPr="00EE18F3">
        <w:rPr>
          <w:b/>
        </w:rPr>
        <w:t xml:space="preserve">Class </w:t>
      </w:r>
      <w:r w:rsidR="007E75CE">
        <w:rPr>
          <w:b/>
        </w:rPr>
        <w:t>16</w:t>
      </w:r>
      <w:r w:rsidRPr="00EE18F3">
        <w:rPr>
          <w:b/>
        </w:rPr>
        <w:t>: March</w:t>
      </w:r>
      <w:r w:rsidR="00C22629">
        <w:rPr>
          <w:b/>
        </w:rPr>
        <w:t xml:space="preserve"> 12</w:t>
      </w:r>
    </w:p>
    <w:p w:rsidR="000601E6" w:rsidRDefault="000601E6" w:rsidP="002D716F">
      <w:pPr>
        <w:rPr>
          <w:b/>
        </w:rPr>
      </w:pPr>
      <w:r>
        <w:rPr>
          <w:b/>
        </w:rPr>
        <w:t>Migration, National Security, International Security</w:t>
      </w:r>
    </w:p>
    <w:p w:rsidR="000601E6" w:rsidRDefault="000601E6" w:rsidP="002D716F">
      <w:pPr>
        <w:rPr>
          <w:b/>
        </w:rPr>
      </w:pPr>
    </w:p>
    <w:p w:rsidR="000601E6" w:rsidRDefault="003518BB" w:rsidP="002D716F">
      <w:r>
        <w:t xml:space="preserve">Michael B. Gerrard, “Sadly, the Paris Agreement Isn’t Nearly Enough,” </w:t>
      </w:r>
      <w:r w:rsidRPr="00131D4A">
        <w:rPr>
          <w:i/>
        </w:rPr>
        <w:t>Environmental Forum</w:t>
      </w:r>
      <w:r>
        <w:t>, November/December 2016, p. 57</w:t>
      </w:r>
    </w:p>
    <w:p w:rsidR="00D32965" w:rsidRPr="00EE18F3" w:rsidRDefault="00D32965" w:rsidP="002D716F">
      <w:r w:rsidRPr="00D32965">
        <w:t>http://columbiaclimatelaw.com/files/2016/10/Gerrard-2016-10-Paris-Agreement-Isnt-Nearly-Enough.pdf</w:t>
      </w:r>
    </w:p>
    <w:p w:rsidR="000601E6" w:rsidRPr="00EE18F3" w:rsidRDefault="000601E6" w:rsidP="002D716F">
      <w:pPr>
        <w:rPr>
          <w:b/>
        </w:rPr>
      </w:pPr>
    </w:p>
    <w:p w:rsidR="002D716F" w:rsidRDefault="002D716F" w:rsidP="002D716F">
      <w:r w:rsidRPr="002D716F">
        <w:t>Michelle Leighton, “Climate Change and Migration: Key Issues for Legal Protection of Migrants and Displaced Persons,” German Marshall Fund of the United States (June 2010)</w:t>
      </w:r>
    </w:p>
    <w:p w:rsidR="00F9443D" w:rsidRDefault="00F9443D" w:rsidP="002D716F">
      <w:r w:rsidRPr="00F9443D">
        <w:t>http://www.gmfus.org/file/2295/download</w:t>
      </w:r>
    </w:p>
    <w:p w:rsidR="001752CC" w:rsidRDefault="001752CC" w:rsidP="002D716F"/>
    <w:p w:rsidR="00DA73BD" w:rsidRDefault="00DA73BD" w:rsidP="002D716F">
      <w:r>
        <w:t>David R. Boyd, Special Rapporteur, “Human Rights obligations relating to the enjoyment of a safe, clean, healthy and sustainable environment” (United Nations General Assembly), July 15, 2019</w:t>
      </w:r>
    </w:p>
    <w:p w:rsidR="00DA73BD" w:rsidRDefault="00DA73BD" w:rsidP="002D716F">
      <w:r>
        <w:t>(Read pp. 10-25; skim rest)</w:t>
      </w:r>
    </w:p>
    <w:p w:rsidR="00DA73BD" w:rsidRDefault="002F286D" w:rsidP="002D716F">
      <w:hyperlink r:id="rId40" w:history="1">
        <w:r w:rsidR="00DA73BD" w:rsidRPr="00DA73BD">
          <w:rPr>
            <w:color w:val="0000FF"/>
            <w:u w:val="single"/>
          </w:rPr>
          <w:t>http://srenvironment.org/sites/default/files/Reports/2019/UNGA%20Safe%20Climate%20Report%202019.pdf</w:t>
        </w:r>
      </w:hyperlink>
    </w:p>
    <w:p w:rsidR="00577494" w:rsidRDefault="00577494" w:rsidP="002D716F"/>
    <w:p w:rsidR="00577494" w:rsidRDefault="00577494" w:rsidP="002D716F">
      <w:r>
        <w:t>Ioane Teitiota v. Chief Executive of the Ministry of Business, Innovation and Employment (New Zealand Supreme Court, July 20, 2015)</w:t>
      </w:r>
    </w:p>
    <w:p w:rsidR="00577494" w:rsidRDefault="002F286D" w:rsidP="002D716F">
      <w:hyperlink r:id="rId41" w:history="1">
        <w:r w:rsidR="00577494" w:rsidRPr="00577494">
          <w:rPr>
            <w:color w:val="0000FF"/>
            <w:u w:val="single"/>
          </w:rPr>
          <w:t>http://blogs2.law.columbia.edu/climate-change-litigation/wp-content/uploads/sites/16/non-us-case-documents/2015/20150720_2015-NZSC-107_judgment-1.pdf</w:t>
        </w:r>
      </w:hyperlink>
    </w:p>
    <w:p w:rsidR="00DA73BD" w:rsidRPr="002D716F" w:rsidRDefault="00DA73BD" w:rsidP="002D716F"/>
    <w:p w:rsidR="002D716F" w:rsidRDefault="004D44BF" w:rsidP="002D716F">
      <w:r>
        <w:t xml:space="preserve">CNA Military Advisory Board, </w:t>
      </w:r>
      <w:r>
        <w:rPr>
          <w:i/>
        </w:rPr>
        <w:t>National Security and the Accelerating Risks of Climate Change</w:t>
      </w:r>
      <w:r>
        <w:t xml:space="preserve"> (May 2014) (excerpts -- p. 1-5)</w:t>
      </w:r>
    </w:p>
    <w:p w:rsidR="00092EDF" w:rsidRDefault="00F9443D" w:rsidP="002D716F">
      <w:r w:rsidRPr="00F9443D">
        <w:t>https://www.cna.org/cna_files/pdf/MAB_5-8-14.pdf</w:t>
      </w:r>
    </w:p>
    <w:p w:rsidR="002D716F" w:rsidRPr="002D716F" w:rsidRDefault="002D716F" w:rsidP="002D716F"/>
    <w:p w:rsidR="000E66C4" w:rsidRDefault="000E66C4" w:rsidP="002D716F">
      <w:pPr>
        <w:rPr>
          <w:b/>
        </w:rPr>
      </w:pPr>
      <w:r w:rsidRPr="000E66C4">
        <w:rPr>
          <w:b/>
        </w:rPr>
        <w:t xml:space="preserve">Class </w:t>
      </w:r>
      <w:r w:rsidR="007E75CE">
        <w:rPr>
          <w:b/>
        </w:rPr>
        <w:t>17</w:t>
      </w:r>
      <w:r w:rsidRPr="000E66C4">
        <w:rPr>
          <w:b/>
        </w:rPr>
        <w:t xml:space="preserve">: March </w:t>
      </w:r>
      <w:r w:rsidR="00C22629">
        <w:rPr>
          <w:b/>
        </w:rPr>
        <w:t>24</w:t>
      </w:r>
    </w:p>
    <w:p w:rsidR="002D716F" w:rsidRPr="002D716F" w:rsidRDefault="002D716F" w:rsidP="002D716F">
      <w:pPr>
        <w:rPr>
          <w:b/>
        </w:rPr>
      </w:pPr>
      <w:r w:rsidRPr="002D716F">
        <w:rPr>
          <w:b/>
        </w:rPr>
        <w:t>State and regional actions</w:t>
      </w:r>
    </w:p>
    <w:p w:rsidR="002D716F" w:rsidRPr="002D716F" w:rsidRDefault="002D716F" w:rsidP="002D716F">
      <w:pPr>
        <w:rPr>
          <w:b/>
        </w:rPr>
      </w:pPr>
    </w:p>
    <w:p w:rsidR="002D716F" w:rsidRDefault="002D716F" w:rsidP="002D716F">
      <w:r w:rsidRPr="002D716F">
        <w:t>Eleanor Stein, “Regional Initiatives to Reduce Greenhouse Gas Emissions,” Chapter 9 in Gerrard &amp; Freeman</w:t>
      </w:r>
    </w:p>
    <w:p w:rsidR="004A3CE2" w:rsidRPr="002D716F" w:rsidRDefault="004A3CE2" w:rsidP="004A3CE2"/>
    <w:p w:rsidR="004A3CE2" w:rsidRDefault="004A3CE2" w:rsidP="004A3CE2">
      <w:r w:rsidRPr="002D716F">
        <w:t>Regional Greenhouse Gas Initiative, Memorandum of Understanding (December 2005)</w:t>
      </w:r>
      <w:r w:rsidR="00502F4F">
        <w:t xml:space="preserve"> (skim)</w:t>
      </w:r>
    </w:p>
    <w:p w:rsidR="00E27439" w:rsidRPr="002D716F" w:rsidRDefault="00E27439" w:rsidP="004A3CE2">
      <w:r w:rsidRPr="00E27439">
        <w:t>https://www.rggi.org/sites/default/files/Uploads/Design-Archive/MOU/MOU_12_20_05.pdf</w:t>
      </w:r>
    </w:p>
    <w:p w:rsidR="002D716F" w:rsidRPr="002D716F" w:rsidRDefault="002D716F" w:rsidP="002D716F"/>
    <w:p w:rsidR="002D716F" w:rsidRPr="002D716F" w:rsidRDefault="002D716F" w:rsidP="002D716F">
      <w:r w:rsidRPr="002D716F">
        <w:t xml:space="preserve">David Hodas, “State Initiatives,” Chapter 10 in Gerrard &amp; Freeman </w:t>
      </w:r>
    </w:p>
    <w:p w:rsidR="002D716F" w:rsidRPr="002D716F" w:rsidRDefault="002D716F" w:rsidP="002D716F"/>
    <w:p w:rsidR="002D716F" w:rsidRDefault="002D716F" w:rsidP="002D716F">
      <w:r w:rsidRPr="002D716F">
        <w:t>Assembly Bill No. 32, California Global Warming Solutions Act of 2006 (skim)</w:t>
      </w:r>
    </w:p>
    <w:p w:rsidR="00E27439" w:rsidRPr="002D716F" w:rsidRDefault="00E27439" w:rsidP="002D716F">
      <w:r w:rsidRPr="00E27439">
        <w:t>http://www.leginfo.ca.gov/pub/05-06/bill/asm/ab_0001-0050/ab_32_bill_20060927_chaptered.pdf</w:t>
      </w:r>
    </w:p>
    <w:p w:rsidR="002D716F" w:rsidRPr="002D716F" w:rsidRDefault="002D716F" w:rsidP="002D716F"/>
    <w:p w:rsidR="002D716F" w:rsidRDefault="002D716F" w:rsidP="002D716F">
      <w:r w:rsidRPr="002D716F">
        <w:rPr>
          <w:i/>
        </w:rPr>
        <w:lastRenderedPageBreak/>
        <w:t xml:space="preserve">Association of Irritated Residents v. California Air Resources Board, </w:t>
      </w:r>
      <w:r w:rsidRPr="002D716F">
        <w:t>206 Cal.App.4</w:t>
      </w:r>
      <w:r w:rsidRPr="002D716F">
        <w:rPr>
          <w:vertAlign w:val="superscript"/>
        </w:rPr>
        <w:t>th</w:t>
      </w:r>
      <w:r w:rsidRPr="002D716F">
        <w:t xml:space="preserve"> 1487 (Cal Ct. App. June 19, 2012)</w:t>
      </w:r>
      <w:r w:rsidR="00F22DCE">
        <w:t xml:space="preserve"> (excerpts)</w:t>
      </w:r>
    </w:p>
    <w:p w:rsidR="00E27439" w:rsidRDefault="00E27439" w:rsidP="002D716F">
      <w:r w:rsidRPr="00E27439">
        <w:t>http://climatecasechart.com/case/assoc-of-irritated-residents-v-cal-air-resources-board/</w:t>
      </w:r>
    </w:p>
    <w:p w:rsidR="00E27439" w:rsidRPr="002D716F" w:rsidRDefault="00E27439" w:rsidP="002D716F"/>
    <w:p w:rsidR="002D716F" w:rsidRDefault="00DA73BD" w:rsidP="002D716F">
      <w:r>
        <w:t>Michael B. Gerrard, “The effect of New York’s new climate law on municipalities: Deep but uncertain,” 20 New York Zoning Law and Practice Report 1 (November/December 2019)</w:t>
      </w:r>
    </w:p>
    <w:p w:rsidR="00DA73BD" w:rsidRDefault="002F286D" w:rsidP="002D716F">
      <w:hyperlink r:id="rId42" w:history="1">
        <w:r w:rsidR="00DA73BD" w:rsidRPr="00DA73BD">
          <w:rPr>
            <w:color w:val="0000FF"/>
            <w:u w:val="single"/>
          </w:rPr>
          <w:t>https://climate.law.columbia.edu/sites/default/files/content/NYZLPR_03.pdf</w:t>
        </w:r>
      </w:hyperlink>
    </w:p>
    <w:p w:rsidR="00DA73BD" w:rsidRPr="00272DD5" w:rsidRDefault="00DA73BD" w:rsidP="002D716F"/>
    <w:p w:rsidR="00212E9C" w:rsidRDefault="00212E9C" w:rsidP="002D716F">
      <w:pPr>
        <w:rPr>
          <w:b/>
        </w:rPr>
      </w:pPr>
    </w:p>
    <w:p w:rsidR="00212E9C" w:rsidRDefault="00212E9C" w:rsidP="002D716F">
      <w:pPr>
        <w:rPr>
          <w:b/>
        </w:rPr>
      </w:pPr>
    </w:p>
    <w:p w:rsidR="002D716F" w:rsidRPr="002D716F" w:rsidRDefault="000E66C4" w:rsidP="002D716F">
      <w:pPr>
        <w:rPr>
          <w:b/>
        </w:rPr>
      </w:pPr>
      <w:r w:rsidRPr="000E66C4">
        <w:rPr>
          <w:b/>
        </w:rPr>
        <w:t xml:space="preserve">Class </w:t>
      </w:r>
      <w:r w:rsidR="007E75CE">
        <w:rPr>
          <w:b/>
        </w:rPr>
        <w:t>18</w:t>
      </w:r>
      <w:r w:rsidRPr="000E66C4">
        <w:rPr>
          <w:b/>
        </w:rPr>
        <w:t xml:space="preserve">: March </w:t>
      </w:r>
      <w:r w:rsidR="00C22629">
        <w:rPr>
          <w:b/>
        </w:rPr>
        <w:t>26</w:t>
      </w:r>
    </w:p>
    <w:p w:rsidR="002D716F" w:rsidRPr="002D716F" w:rsidRDefault="002D716F" w:rsidP="002D716F">
      <w:pPr>
        <w:rPr>
          <w:b/>
        </w:rPr>
      </w:pPr>
      <w:r w:rsidRPr="002D716F">
        <w:rPr>
          <w:b/>
        </w:rPr>
        <w:t>Municipal actions</w:t>
      </w:r>
    </w:p>
    <w:p w:rsidR="002D716F" w:rsidRPr="002D716F" w:rsidRDefault="002D716F" w:rsidP="002D716F">
      <w:pPr>
        <w:rPr>
          <w:b/>
        </w:rPr>
      </w:pPr>
    </w:p>
    <w:p w:rsidR="002D716F" w:rsidRPr="002D716F" w:rsidRDefault="002D716F" w:rsidP="002D716F">
      <w:r w:rsidRPr="002D716F">
        <w:t>J. Kevin Healy &amp; L. Margaret Barry, “Local Initiatives,” Chapter 12 in Gerrard &amp; Freeman</w:t>
      </w:r>
    </w:p>
    <w:p w:rsidR="000E401E" w:rsidRPr="002D716F" w:rsidRDefault="000E401E" w:rsidP="002D716F"/>
    <w:p w:rsidR="002D716F" w:rsidRDefault="002D716F" w:rsidP="002D716F">
      <w:r w:rsidRPr="002D716F">
        <w:t>John R. Nolon, “Transportation and Land Use,” Chapter 15 in Gerrard &amp; Freeman</w:t>
      </w:r>
    </w:p>
    <w:p w:rsidR="000E401E" w:rsidRDefault="000E401E" w:rsidP="002D716F"/>
    <w:p w:rsidR="003B433E" w:rsidRDefault="00347F5A" w:rsidP="002D716F">
      <w:r>
        <w:t>Daniel Gatti, “The Transportation and Climate Initiative, Explained” (Union of Concerned Scientists (December 17, 2019)</w:t>
      </w:r>
    </w:p>
    <w:p w:rsidR="00347F5A" w:rsidRDefault="002F286D" w:rsidP="002D716F">
      <w:hyperlink r:id="rId43" w:history="1">
        <w:r w:rsidR="00347F5A" w:rsidRPr="00347F5A">
          <w:rPr>
            <w:color w:val="0000FF"/>
            <w:u w:val="single"/>
          </w:rPr>
          <w:t>https://blog.ucsusa.org/daniel-gatti/the-transportation-and-climate-initiative-explained</w:t>
        </w:r>
      </w:hyperlink>
    </w:p>
    <w:p w:rsidR="003B433E" w:rsidRDefault="003B433E" w:rsidP="002D716F"/>
    <w:p w:rsidR="003B433E" w:rsidRDefault="003B433E" w:rsidP="002D716F">
      <w:r>
        <w:t>Yankee Institute for Public Policy, et al., “TCI Open Letter” (December 20, 2019)</w:t>
      </w:r>
    </w:p>
    <w:p w:rsidR="003B433E" w:rsidRDefault="002F286D" w:rsidP="002D716F">
      <w:hyperlink r:id="rId44" w:history="1">
        <w:r w:rsidR="003B433E" w:rsidRPr="003B433E">
          <w:rPr>
            <w:color w:val="0000FF"/>
            <w:u w:val="single"/>
          </w:rPr>
          <w:t>http://ethanallen.org/wp-content/uploads/2019/12/TCI-Opposition-Letter.pdf</w:t>
        </w:r>
      </w:hyperlink>
    </w:p>
    <w:p w:rsidR="00347F5A" w:rsidRDefault="00347F5A" w:rsidP="002D716F"/>
    <w:p w:rsidR="00347F5A" w:rsidRDefault="00347F5A" w:rsidP="002D716F">
      <w:r>
        <w:t>Meredith Hankins, “We’re Never Going to Meet Our GHG Transportation Goals Unless We Radically Rethink Our Cities,” Legal Planet, December 5, 2018</w:t>
      </w:r>
    </w:p>
    <w:p w:rsidR="00347F5A" w:rsidRDefault="002F286D" w:rsidP="002D716F">
      <w:hyperlink r:id="rId45" w:history="1">
        <w:r w:rsidR="00347F5A" w:rsidRPr="00347F5A">
          <w:rPr>
            <w:color w:val="0000FF"/>
            <w:u w:val="single"/>
          </w:rPr>
          <w:t>https://legal-planet.org/2018/12/05/were-never-going-to-meet-our-ghg-transportation-goals-until-we-radically-rethink-our-cities/</w:t>
        </w:r>
      </w:hyperlink>
    </w:p>
    <w:p w:rsidR="002D716F" w:rsidRPr="00EE18F3" w:rsidRDefault="002D716F" w:rsidP="002D716F">
      <w:pPr>
        <w:rPr>
          <w:b/>
        </w:rPr>
      </w:pPr>
    </w:p>
    <w:p w:rsidR="00212E9C" w:rsidRDefault="00212E9C" w:rsidP="002D716F">
      <w:pPr>
        <w:rPr>
          <w:b/>
        </w:rPr>
      </w:pPr>
    </w:p>
    <w:p w:rsidR="00212E9C" w:rsidRDefault="00212E9C" w:rsidP="002D716F">
      <w:pPr>
        <w:rPr>
          <w:b/>
        </w:rPr>
      </w:pPr>
    </w:p>
    <w:p w:rsidR="002D716F" w:rsidRPr="00EE18F3" w:rsidRDefault="000E66C4" w:rsidP="002D716F">
      <w:pPr>
        <w:rPr>
          <w:b/>
        </w:rPr>
      </w:pPr>
      <w:r w:rsidRPr="00EE18F3">
        <w:rPr>
          <w:b/>
        </w:rPr>
        <w:t xml:space="preserve">Class </w:t>
      </w:r>
      <w:r w:rsidR="00E502CD">
        <w:rPr>
          <w:b/>
        </w:rPr>
        <w:t>19</w:t>
      </w:r>
      <w:r w:rsidRPr="00EE18F3">
        <w:rPr>
          <w:b/>
        </w:rPr>
        <w:t xml:space="preserve">: </w:t>
      </w:r>
      <w:r w:rsidR="00C22629">
        <w:rPr>
          <w:b/>
        </w:rPr>
        <w:t>March 31</w:t>
      </w:r>
    </w:p>
    <w:p w:rsidR="002D716F" w:rsidRPr="002D716F" w:rsidRDefault="002D716F" w:rsidP="002D716F">
      <w:pPr>
        <w:rPr>
          <w:b/>
        </w:rPr>
      </w:pPr>
      <w:r w:rsidRPr="002D716F">
        <w:rPr>
          <w:b/>
        </w:rPr>
        <w:t>Energy efficiency</w:t>
      </w:r>
    </w:p>
    <w:p w:rsidR="002D716F" w:rsidRPr="002D716F" w:rsidRDefault="002D716F" w:rsidP="002D716F">
      <w:pPr>
        <w:rPr>
          <w:b/>
        </w:rPr>
      </w:pPr>
    </w:p>
    <w:p w:rsidR="002D716F" w:rsidRPr="002D716F" w:rsidRDefault="002D716F" w:rsidP="002D716F">
      <w:r w:rsidRPr="002D716F">
        <w:t xml:space="preserve">Michael B. Gerrard, “Introduction and Overview,” in Michael B. Gerrard, ed., </w:t>
      </w:r>
      <w:r w:rsidRPr="002D716F">
        <w:rPr>
          <w:i/>
        </w:rPr>
        <w:t>The Law of Clean Energy: Efficiency and Renewables</w:t>
      </w:r>
      <w:r w:rsidRPr="002D716F">
        <w:t xml:space="preserve"> (2011)</w:t>
      </w:r>
    </w:p>
    <w:p w:rsidR="002D716F" w:rsidRPr="002D716F" w:rsidRDefault="002D716F" w:rsidP="002D716F"/>
    <w:p w:rsidR="002D716F" w:rsidRDefault="006969E9" w:rsidP="002D716F">
      <w:r>
        <w:t xml:space="preserve">John C. Dernbach, The  Dozen Types of Legal Tools in the Deep Decarbonization Toolbox, 39 </w:t>
      </w:r>
      <w:r w:rsidRPr="00131D4A">
        <w:rPr>
          <w:i/>
        </w:rPr>
        <w:t>Energy L.J.</w:t>
      </w:r>
      <w:r>
        <w:t xml:space="preserve"> 313 (2018)</w:t>
      </w:r>
    </w:p>
    <w:p w:rsidR="006969E9" w:rsidRDefault="002F286D" w:rsidP="002D716F">
      <w:hyperlink r:id="rId46" w:history="1">
        <w:r w:rsidR="006969E9" w:rsidRPr="004E200B">
          <w:rPr>
            <w:rStyle w:val="Hyperlink"/>
          </w:rPr>
          <w:t>https://www.eba-net.org/assets/1/6/16-313-352-Dernbach[FINAL].pdf</w:t>
        </w:r>
      </w:hyperlink>
    </w:p>
    <w:p w:rsidR="006969E9" w:rsidRDefault="006969E9" w:rsidP="002D716F"/>
    <w:p w:rsidR="006969E9" w:rsidRDefault="003B433E" w:rsidP="002D716F">
      <w:r>
        <w:t>Michael B. Gerrard &amp; John C. Dernbach, “Legal Pathways to Deep Decarbonization in the United States: Summary and Key Recommendations” (Environmental Law Institute 2018)</w:t>
      </w:r>
    </w:p>
    <w:p w:rsidR="003B433E" w:rsidRDefault="003B433E" w:rsidP="002D716F">
      <w:r>
        <w:t>(skim pp. 1-90)</w:t>
      </w:r>
    </w:p>
    <w:p w:rsidR="003B433E" w:rsidRDefault="002F286D" w:rsidP="002D716F">
      <w:hyperlink r:id="rId47" w:history="1">
        <w:r w:rsidR="003B433E" w:rsidRPr="003B433E">
          <w:rPr>
            <w:color w:val="0000FF"/>
            <w:u w:val="single"/>
          </w:rPr>
          <w:t>https://www.eli.org/sites/default/files/docs/books/deep_decarb_summary_booklet_online.pdf</w:t>
        </w:r>
      </w:hyperlink>
    </w:p>
    <w:p w:rsidR="003B433E" w:rsidRDefault="003B433E" w:rsidP="002D716F"/>
    <w:p w:rsidR="000E66C4" w:rsidRPr="000E66C4" w:rsidRDefault="000E66C4" w:rsidP="000E66C4">
      <w:pPr>
        <w:rPr>
          <w:b/>
        </w:rPr>
      </w:pPr>
    </w:p>
    <w:p w:rsidR="00EE18F3" w:rsidRDefault="000E66C4" w:rsidP="002D716F">
      <w:pPr>
        <w:rPr>
          <w:b/>
        </w:rPr>
      </w:pPr>
      <w:r w:rsidRPr="000E66C4">
        <w:rPr>
          <w:b/>
        </w:rPr>
        <w:t xml:space="preserve">Class </w:t>
      </w:r>
      <w:r w:rsidR="00E502CD">
        <w:rPr>
          <w:b/>
        </w:rPr>
        <w:t>20</w:t>
      </w:r>
      <w:r w:rsidRPr="000E66C4">
        <w:rPr>
          <w:b/>
        </w:rPr>
        <w:t xml:space="preserve">: </w:t>
      </w:r>
      <w:r w:rsidR="007D7796">
        <w:rPr>
          <w:b/>
        </w:rPr>
        <w:t xml:space="preserve">April </w:t>
      </w:r>
      <w:r w:rsidR="00C22629">
        <w:rPr>
          <w:b/>
        </w:rPr>
        <w:t>2</w:t>
      </w:r>
    </w:p>
    <w:p w:rsidR="002D716F" w:rsidRPr="002D716F" w:rsidRDefault="002D716F" w:rsidP="002D716F">
      <w:r w:rsidRPr="002D716F">
        <w:rPr>
          <w:b/>
        </w:rPr>
        <w:lastRenderedPageBreak/>
        <w:t>Renewable energy</w:t>
      </w:r>
    </w:p>
    <w:p w:rsidR="002D716F" w:rsidRDefault="002D716F" w:rsidP="002D716F"/>
    <w:p w:rsidR="003B433E" w:rsidRDefault="003B433E" w:rsidP="002D716F"/>
    <w:p w:rsidR="003B433E" w:rsidRDefault="003B433E" w:rsidP="002D716F">
      <w:r>
        <w:t>Geoffrey Heal, “What Would It Take to Reduce U.S. Greenhouse Gas Emissions 80 Percent by 2050?”</w:t>
      </w:r>
    </w:p>
    <w:p w:rsidR="003B433E" w:rsidRDefault="003B433E" w:rsidP="002D716F">
      <w:r>
        <w:t>11 Review of Environmental Economics and Policy 319 (2017)</w:t>
      </w:r>
    </w:p>
    <w:p w:rsidR="000D0625" w:rsidRDefault="002F286D" w:rsidP="002D716F">
      <w:hyperlink r:id="rId48" w:history="1">
        <w:r w:rsidR="00936514" w:rsidRPr="00936514">
          <w:rPr>
            <w:color w:val="0000FF"/>
            <w:u w:val="single"/>
          </w:rPr>
          <w:t>https://academic.oup.com/reep/article/11/2/319/3964517</w:t>
        </w:r>
      </w:hyperlink>
    </w:p>
    <w:p w:rsidR="00212E9C" w:rsidRPr="002D716F" w:rsidRDefault="00212E9C" w:rsidP="002D716F"/>
    <w:p w:rsidR="002D716F" w:rsidRDefault="007E75CE" w:rsidP="002D716F">
      <w:r>
        <w:t xml:space="preserve">Michael B. Gerrard, “Legal Pathways for a Massive Increase in Utility-Scale Renewable Generation Capacity,” 47 </w:t>
      </w:r>
      <w:r w:rsidRPr="00131D4A">
        <w:rPr>
          <w:i/>
        </w:rPr>
        <w:t>Env. L. Rep.</w:t>
      </w:r>
      <w:r>
        <w:t xml:space="preserve"> 10591 (2017)</w:t>
      </w:r>
      <w:r w:rsidR="006969E9">
        <w:t xml:space="preserve"> (skim)</w:t>
      </w:r>
    </w:p>
    <w:p w:rsidR="00E27439" w:rsidRDefault="002F286D" w:rsidP="002D716F">
      <w:hyperlink r:id="rId49" w:history="1">
        <w:r w:rsidR="00936514" w:rsidRPr="00E8685E">
          <w:rPr>
            <w:rStyle w:val="Hyperlink"/>
          </w:rPr>
          <w:t>http://columbiaclimatelaw.com/files/2017/06/Legal-Pathways-for-a-Massive-Increase-in-Utility-Scale-Renewable-Generation-Capacity.pdf</w:t>
        </w:r>
      </w:hyperlink>
    </w:p>
    <w:p w:rsidR="00936514" w:rsidRDefault="00936514" w:rsidP="002D716F"/>
    <w:p w:rsidR="00936514" w:rsidRDefault="00936514" w:rsidP="00936514">
      <w:r>
        <w:t xml:space="preserve">Michael B. Gerrard, “Save Birds Now or Birds Later,” </w:t>
      </w:r>
      <w:r w:rsidRPr="00131D4A">
        <w:rPr>
          <w:i/>
        </w:rPr>
        <w:t>Environment Forum</w:t>
      </w:r>
      <w:r>
        <w:t>, May/June 2015, p. 39</w:t>
      </w:r>
    </w:p>
    <w:p w:rsidR="00936514" w:rsidRDefault="002F286D" w:rsidP="00936514">
      <w:hyperlink r:id="rId50" w:history="1">
        <w:r w:rsidR="00936514" w:rsidRPr="00E8685E">
          <w:rPr>
            <w:rStyle w:val="Hyperlink"/>
          </w:rPr>
          <w:t>http://columbiaclimatelaw.com/files/2016/09/Gerrard-2015-05-Save-Birds-Now-or-Later.pdf</w:t>
        </w:r>
      </w:hyperlink>
    </w:p>
    <w:p w:rsidR="00936514" w:rsidRDefault="00936514" w:rsidP="002D716F"/>
    <w:p w:rsidR="002D716F" w:rsidRPr="002D716F" w:rsidRDefault="002D716F" w:rsidP="002D716F">
      <w:r w:rsidRPr="002D716F">
        <w:rPr>
          <w:i/>
        </w:rPr>
        <w:t>Animal Welfare Institute v. Beech Ridge Energy LLC</w:t>
      </w:r>
      <w:r w:rsidRPr="002D716F">
        <w:t>, 675 F. Supp.2d 540 (D. Md. 2009)</w:t>
      </w:r>
      <w:r w:rsidR="00F22DCE">
        <w:t xml:space="preserve"> (excerpts)</w:t>
      </w:r>
    </w:p>
    <w:p w:rsidR="002D716F" w:rsidRPr="002D716F" w:rsidRDefault="002D716F" w:rsidP="002D716F"/>
    <w:p w:rsidR="002D716F" w:rsidRPr="002D716F" w:rsidRDefault="002D716F" w:rsidP="002D716F">
      <w:r w:rsidRPr="002D716F">
        <w:t xml:space="preserve">Robert F. Kennedy, Jr., “An Ill Wind Off Cape Cod,” </w:t>
      </w:r>
      <w:r w:rsidRPr="002D716F">
        <w:rPr>
          <w:i/>
        </w:rPr>
        <w:t>New York Times</w:t>
      </w:r>
      <w:r w:rsidRPr="002D716F">
        <w:t>, December 16, 2005</w:t>
      </w:r>
    </w:p>
    <w:p w:rsidR="002D716F" w:rsidRDefault="002F286D" w:rsidP="002D716F">
      <w:hyperlink r:id="rId51" w:history="1">
        <w:r w:rsidR="00E27439" w:rsidRPr="004E200B">
          <w:rPr>
            <w:rStyle w:val="Hyperlink"/>
          </w:rPr>
          <w:t>https://www.nytimes.com/2005/12/16/opinion/an-ill-wind-off-cape-cod.html</w:t>
        </w:r>
      </w:hyperlink>
    </w:p>
    <w:p w:rsidR="00E27439" w:rsidRPr="002D716F" w:rsidRDefault="00E27439" w:rsidP="002D716F"/>
    <w:p w:rsidR="00414C40" w:rsidRDefault="002D716F">
      <w:r w:rsidRPr="002D716F">
        <w:t xml:space="preserve">Charles Komanoff, “Whither Wind? A journey through the heated debate over wind power,” </w:t>
      </w:r>
      <w:r w:rsidRPr="002D716F">
        <w:rPr>
          <w:i/>
        </w:rPr>
        <w:t>Orion</w:t>
      </w:r>
      <w:r w:rsidRPr="002D716F">
        <w:t>, pages 30-37 (September/October 2006)</w:t>
      </w:r>
    </w:p>
    <w:p w:rsidR="00E27439" w:rsidRDefault="00E27439">
      <w:r w:rsidRPr="00E27439">
        <w:t>https://orionmagazine.org/article/whither-wind/</w:t>
      </w:r>
    </w:p>
    <w:p w:rsidR="00E81078" w:rsidRDefault="00E81078"/>
    <w:p w:rsidR="00E81078" w:rsidRDefault="00E81078">
      <w:r>
        <w:t xml:space="preserve">Bill McKibben, “A World at War,” </w:t>
      </w:r>
      <w:r w:rsidRPr="00131D4A">
        <w:rPr>
          <w:i/>
        </w:rPr>
        <w:t>New Republic</w:t>
      </w:r>
      <w:r>
        <w:t>, August 15, 2016</w:t>
      </w:r>
    </w:p>
    <w:p w:rsidR="00E27439" w:rsidRPr="00131D4A" w:rsidRDefault="00E27439">
      <w:r w:rsidRPr="00131D4A">
        <w:t>https://newrepublic.com/article/135684/declare-war-climate-change-mobilize-wwii</w:t>
      </w:r>
    </w:p>
    <w:p w:rsidR="002D716F" w:rsidRDefault="002D716F" w:rsidP="002D716F">
      <w:pPr>
        <w:rPr>
          <w:b/>
        </w:rPr>
      </w:pPr>
    </w:p>
    <w:p w:rsidR="00212E9C" w:rsidRPr="002D716F" w:rsidRDefault="00212E9C" w:rsidP="002D716F">
      <w:pPr>
        <w:rPr>
          <w:b/>
        </w:rPr>
      </w:pPr>
    </w:p>
    <w:p w:rsidR="002D716F" w:rsidRPr="002D716F" w:rsidRDefault="000E66C4" w:rsidP="002D716F">
      <w:pPr>
        <w:rPr>
          <w:b/>
        </w:rPr>
      </w:pPr>
      <w:r w:rsidRPr="000E66C4">
        <w:rPr>
          <w:b/>
        </w:rPr>
        <w:t xml:space="preserve">Class </w:t>
      </w:r>
      <w:r w:rsidR="00E502CD">
        <w:rPr>
          <w:b/>
        </w:rPr>
        <w:t>21</w:t>
      </w:r>
      <w:r w:rsidRPr="000E66C4">
        <w:rPr>
          <w:b/>
        </w:rPr>
        <w:t xml:space="preserve">: </w:t>
      </w:r>
      <w:r w:rsidR="001F10C8">
        <w:rPr>
          <w:b/>
        </w:rPr>
        <w:t xml:space="preserve">April </w:t>
      </w:r>
      <w:r w:rsidR="00C22629">
        <w:rPr>
          <w:b/>
        </w:rPr>
        <w:t>7</w:t>
      </w:r>
    </w:p>
    <w:p w:rsidR="002D716F" w:rsidRPr="002D716F" w:rsidRDefault="002D716F" w:rsidP="002D716F">
      <w:pPr>
        <w:rPr>
          <w:b/>
        </w:rPr>
      </w:pPr>
      <w:r w:rsidRPr="002D716F">
        <w:rPr>
          <w:b/>
        </w:rPr>
        <w:t>Coal</w:t>
      </w:r>
    </w:p>
    <w:p w:rsidR="002D716F" w:rsidRPr="002D716F" w:rsidRDefault="002D716F" w:rsidP="002D716F"/>
    <w:p w:rsidR="007E75CE" w:rsidRDefault="007E75CE" w:rsidP="002D716F">
      <w:r>
        <w:t xml:space="preserve">Wendy B. Jacobs &amp; Michael Craig, “Legal Pathways to Widespread Carbon Capture and Sequestration,” 47 </w:t>
      </w:r>
      <w:r w:rsidRPr="00131D4A">
        <w:rPr>
          <w:i/>
        </w:rPr>
        <w:t>Env. L. Rep.</w:t>
      </w:r>
      <w:r>
        <w:t xml:space="preserve"> 1102 (2017)</w:t>
      </w:r>
      <w:r w:rsidR="00936514">
        <w:t xml:space="preserve"> (skim)</w:t>
      </w:r>
    </w:p>
    <w:p w:rsidR="00E27439" w:rsidRDefault="00E27439" w:rsidP="002D716F">
      <w:r w:rsidRPr="00E27439">
        <w:t>https://www.eli.org/sites/default/files/elr/featuredarticles/47.11022.pdf</w:t>
      </w:r>
    </w:p>
    <w:p w:rsidR="002D716F" w:rsidRPr="002D716F" w:rsidRDefault="002D716F" w:rsidP="002D716F"/>
    <w:p w:rsidR="00936514" w:rsidRDefault="00936514" w:rsidP="002D716F"/>
    <w:p w:rsidR="00936514" w:rsidRDefault="00936514" w:rsidP="002D716F">
      <w:r>
        <w:t xml:space="preserve">Adele C. Morris et al., “The Risk of Fiscal Collapse in Coal-Reliant Communities” (Columbia </w:t>
      </w:r>
    </w:p>
    <w:p w:rsidR="00936514" w:rsidRDefault="00936514" w:rsidP="002D716F">
      <w:r>
        <w:t>Center for Global Energy Policy &amp; Brookings</w:t>
      </w:r>
      <w:r w:rsidR="001D0B0E">
        <w:t>, July 2019), pp. 8-17</w:t>
      </w:r>
    </w:p>
    <w:p w:rsidR="00936514" w:rsidRDefault="00936514" w:rsidP="002D716F"/>
    <w:p w:rsidR="00936514" w:rsidRDefault="00936514" w:rsidP="002D716F">
      <w:r>
        <w:t>Jessica Koski et al., ‘Principles for aligning U.S. fossil fuel extraction with climate limits” (Stockholm Environment Institute February 2019), pp. 5-15</w:t>
      </w:r>
    </w:p>
    <w:p w:rsidR="00936514" w:rsidRDefault="002F286D" w:rsidP="002D716F">
      <w:hyperlink r:id="rId52" w:history="1">
        <w:r w:rsidR="00936514" w:rsidRPr="00936514">
          <w:rPr>
            <w:color w:val="0000FF"/>
            <w:u w:val="single"/>
          </w:rPr>
          <w:t>https://www.sei.org/wp-content/uploads/2019/02/principles-for-aligning-fossil-fuel-extraction-w-climate-limits.pdf</w:t>
        </w:r>
      </w:hyperlink>
    </w:p>
    <w:p w:rsidR="002D716F" w:rsidRDefault="002D716F" w:rsidP="002D716F"/>
    <w:p w:rsidR="008326F5" w:rsidRDefault="008326F5" w:rsidP="002D716F">
      <w:r>
        <w:t xml:space="preserve">Somini Sengupta, The World Needs to Quit Coal: Why Is It So Hard? </w:t>
      </w:r>
      <w:r w:rsidRPr="00131D4A">
        <w:rPr>
          <w:i/>
        </w:rPr>
        <w:t>N.Y. Times</w:t>
      </w:r>
      <w:r>
        <w:t>, November 24, 2018</w:t>
      </w:r>
    </w:p>
    <w:p w:rsidR="008326F5" w:rsidRDefault="002F286D" w:rsidP="002D716F">
      <w:hyperlink r:id="rId53" w:history="1">
        <w:r w:rsidR="008326F5" w:rsidRPr="004E200B">
          <w:rPr>
            <w:rStyle w:val="Hyperlink"/>
          </w:rPr>
          <w:t>https://www.nytimes.com/2018/11/24/climate/coal-global-warming.html</w:t>
        </w:r>
      </w:hyperlink>
    </w:p>
    <w:p w:rsidR="008326F5" w:rsidRDefault="008326F5" w:rsidP="002D716F"/>
    <w:p w:rsidR="00EE18F3" w:rsidRPr="00502F4F" w:rsidRDefault="00EE18F3" w:rsidP="002D716F"/>
    <w:p w:rsidR="000E66C4" w:rsidRPr="00EE18F3" w:rsidRDefault="000E66C4" w:rsidP="002D716F">
      <w:pPr>
        <w:rPr>
          <w:b/>
        </w:rPr>
      </w:pPr>
      <w:r w:rsidRPr="00EE18F3">
        <w:rPr>
          <w:b/>
        </w:rPr>
        <w:t xml:space="preserve">Class </w:t>
      </w:r>
      <w:r w:rsidR="00E502CD">
        <w:rPr>
          <w:b/>
        </w:rPr>
        <w:t>22</w:t>
      </w:r>
      <w:r w:rsidRPr="00EE18F3">
        <w:rPr>
          <w:b/>
        </w:rPr>
        <w:t xml:space="preserve">: April </w:t>
      </w:r>
      <w:r w:rsidR="00C22629">
        <w:rPr>
          <w:b/>
        </w:rPr>
        <w:t>9</w:t>
      </w:r>
    </w:p>
    <w:p w:rsidR="002D716F" w:rsidRDefault="002D716F" w:rsidP="002D716F">
      <w:pPr>
        <w:rPr>
          <w:b/>
        </w:rPr>
      </w:pPr>
      <w:r w:rsidRPr="002D716F">
        <w:rPr>
          <w:b/>
        </w:rPr>
        <w:t>Forestry and agriculture</w:t>
      </w:r>
    </w:p>
    <w:p w:rsidR="001D0B0E" w:rsidRDefault="001D0B0E" w:rsidP="002D716F">
      <w:pPr>
        <w:rPr>
          <w:b/>
        </w:rPr>
      </w:pPr>
    </w:p>
    <w:p w:rsidR="001D0B0E" w:rsidRDefault="001D0B0E" w:rsidP="002D716F">
      <w:r>
        <w:t>Kelly Levin &amp; Sarah Parsons, “7 Things to Know About the IPCC’s Special Report on Climate Change and Land” (World Resources Institute, August 8, 2019)</w:t>
      </w:r>
    </w:p>
    <w:p w:rsidR="001D0B0E" w:rsidRDefault="002F286D" w:rsidP="002D716F">
      <w:hyperlink r:id="rId54" w:history="1">
        <w:r w:rsidR="001D0B0E" w:rsidRPr="001D0B0E">
          <w:rPr>
            <w:color w:val="0000FF"/>
            <w:u w:val="single"/>
          </w:rPr>
          <w:t>https://www.wri.org/blog/2019/08/7-things-know-about-ipcc-special-report-land-and-climate</w:t>
        </w:r>
      </w:hyperlink>
    </w:p>
    <w:p w:rsidR="001D0B0E" w:rsidRPr="00272DD5" w:rsidRDefault="001D0B0E" w:rsidP="002D716F"/>
    <w:p w:rsidR="002D716F" w:rsidRPr="002D716F" w:rsidRDefault="002D716F" w:rsidP="002D716F"/>
    <w:p w:rsidR="007E75CE" w:rsidRDefault="007E75CE" w:rsidP="002D716F">
      <w:r>
        <w:t>Peter Lehner &amp; Nathan A. Rosenberg, “Legal Pathways to Carbon-Neutral Agriculture,” 47 Env. L. Rep. 10845 (2017)</w:t>
      </w:r>
      <w:r w:rsidR="001D0B0E">
        <w:t xml:space="preserve"> (skim)</w:t>
      </w:r>
    </w:p>
    <w:p w:rsidR="0022729F" w:rsidRDefault="002F286D" w:rsidP="002D716F">
      <w:hyperlink r:id="rId55" w:history="1">
        <w:r w:rsidR="001D0B0E" w:rsidRPr="00E8685E">
          <w:rPr>
            <w:rStyle w:val="Hyperlink"/>
          </w:rPr>
          <w:t>https://earthjustice.org/sites/default/files/files/Legal-Pathways-Carbon-Neutral-Agriculture.pdf</w:t>
        </w:r>
      </w:hyperlink>
    </w:p>
    <w:p w:rsidR="001D0B0E" w:rsidRDefault="001D0B0E" w:rsidP="002D716F"/>
    <w:p w:rsidR="001D0B0E" w:rsidRDefault="001D0B0E" w:rsidP="002D716F">
      <w:r>
        <w:t>Lisa Song, “An Even More Inconvenient Truth: Why Carbon Credits for Forest Preservation May Be Worse Than Nothing,” ProPublica, May 22, 2019</w:t>
      </w:r>
    </w:p>
    <w:p w:rsidR="001D0B0E" w:rsidRDefault="002F286D" w:rsidP="002D716F">
      <w:hyperlink r:id="rId56" w:history="1">
        <w:r w:rsidR="001D0B0E" w:rsidRPr="001D0B0E">
          <w:rPr>
            <w:color w:val="0000FF"/>
            <w:u w:val="single"/>
          </w:rPr>
          <w:t>https://features.propublica.org/brazil-carbon-offsets/inconvenient-truth-carbon-credits-dont-work-deforestation-redd-acre-cambodia/</w:t>
        </w:r>
      </w:hyperlink>
    </w:p>
    <w:p w:rsidR="00577494" w:rsidRDefault="00577494" w:rsidP="002D716F"/>
    <w:p w:rsidR="001D0B0E" w:rsidRDefault="001D0B0E" w:rsidP="002D716F">
      <w:r>
        <w:t>Steve Schwartzman &amp; Christina McCain, “What ProPublica’s forest credits story gets wrong – and right,” Environmental Defense Fund, May 23, 2019</w:t>
      </w:r>
    </w:p>
    <w:p w:rsidR="001D0B0E" w:rsidRDefault="002F286D" w:rsidP="002D716F">
      <w:hyperlink r:id="rId57" w:history="1">
        <w:r w:rsidR="001D0B0E" w:rsidRPr="001D0B0E">
          <w:rPr>
            <w:color w:val="0000FF"/>
            <w:u w:val="single"/>
          </w:rPr>
          <w:t>http://blogs.edf.org/climate411/2019/05/23/what-propublicas-forest-carbon-credits-story-gets-wrong-and-right/</w:t>
        </w:r>
      </w:hyperlink>
    </w:p>
    <w:p w:rsidR="001D0B0E" w:rsidRDefault="001D0B0E" w:rsidP="002D716F"/>
    <w:p w:rsidR="001D0B0E" w:rsidRDefault="001D0B0E" w:rsidP="002D716F">
      <w:r>
        <w:t>Lisa Song, “These 4 Arguments Can’t Overcome the Facts About Carbon Offsets for Forest Preservation,” ProPublica, May 31, 2019</w:t>
      </w:r>
    </w:p>
    <w:p w:rsidR="001D0B0E" w:rsidRDefault="002F286D" w:rsidP="002D716F">
      <w:hyperlink r:id="rId58" w:history="1">
        <w:r w:rsidR="001D0B0E" w:rsidRPr="001D0B0E">
          <w:rPr>
            <w:color w:val="0000FF"/>
            <w:u w:val="single"/>
          </w:rPr>
          <w:t>https://www.propublica.org/article/these-4-arguments-cant-overcome-the-facts-about-carbon-offsets-for-forest-preservation</w:t>
        </w:r>
      </w:hyperlink>
    </w:p>
    <w:p w:rsidR="002D716F" w:rsidRPr="002D716F" w:rsidRDefault="002D716F" w:rsidP="002D716F"/>
    <w:p w:rsidR="002D716F" w:rsidRPr="002D716F" w:rsidRDefault="002D716F" w:rsidP="002D716F">
      <w:pPr>
        <w:rPr>
          <w:b/>
        </w:rPr>
      </w:pPr>
    </w:p>
    <w:p w:rsidR="002D716F" w:rsidRDefault="002D716F" w:rsidP="002D716F"/>
    <w:p w:rsidR="00CC2025" w:rsidRPr="00EE18F3" w:rsidRDefault="000E66C4" w:rsidP="002D716F">
      <w:pPr>
        <w:rPr>
          <w:b/>
        </w:rPr>
      </w:pPr>
      <w:r w:rsidRPr="00EE18F3">
        <w:rPr>
          <w:b/>
        </w:rPr>
        <w:t xml:space="preserve">Class 23: April </w:t>
      </w:r>
      <w:r w:rsidR="00C22629">
        <w:rPr>
          <w:b/>
        </w:rPr>
        <w:t>14</w:t>
      </w:r>
    </w:p>
    <w:p w:rsidR="002D716F" w:rsidRPr="002D716F" w:rsidRDefault="002D716F" w:rsidP="002D716F">
      <w:pPr>
        <w:rPr>
          <w:b/>
        </w:rPr>
      </w:pPr>
      <w:r w:rsidRPr="002D716F">
        <w:rPr>
          <w:b/>
        </w:rPr>
        <w:t>Cap and trade vs. carbon tax</w:t>
      </w:r>
    </w:p>
    <w:p w:rsidR="002D716F" w:rsidRPr="002D716F" w:rsidRDefault="002D716F" w:rsidP="002D716F"/>
    <w:p w:rsidR="002D716F" w:rsidRPr="002D716F" w:rsidRDefault="002D716F" w:rsidP="002D716F"/>
    <w:p w:rsidR="002D716F" w:rsidRPr="002D716F" w:rsidRDefault="002D716F" w:rsidP="002D716F">
      <w:r w:rsidRPr="002D716F">
        <w:t xml:space="preserve">Robert N. Stavins, “Cap-and-Trade or a Carbon Tax?” </w:t>
      </w:r>
      <w:r w:rsidRPr="002D716F">
        <w:rPr>
          <w:i/>
        </w:rPr>
        <w:t xml:space="preserve">The Environmental Forum, </w:t>
      </w:r>
      <w:r w:rsidRPr="002D716F">
        <w:t>page 16 (January/February 2008)</w:t>
      </w:r>
    </w:p>
    <w:p w:rsidR="002D716F" w:rsidRDefault="002F286D" w:rsidP="002D716F">
      <w:hyperlink r:id="rId59" w:history="1">
        <w:r w:rsidR="0022729F" w:rsidRPr="004E200B">
          <w:rPr>
            <w:rStyle w:val="Hyperlink"/>
          </w:rPr>
          <w:t>https://pdfs.semanticscholar.org/fee4/ab9b939924c38547feb5c366d5c99c70762e.pdf</w:t>
        </w:r>
      </w:hyperlink>
    </w:p>
    <w:p w:rsidR="0022729F" w:rsidRPr="002D716F" w:rsidRDefault="0022729F" w:rsidP="002D716F"/>
    <w:p w:rsidR="0044338F" w:rsidRDefault="0044338F" w:rsidP="002D716F"/>
    <w:p w:rsidR="0044338F" w:rsidRDefault="0044338F" w:rsidP="002D716F">
      <w:r>
        <w:t xml:space="preserve">Shi-Ling Hsu, “Carbon Pricing,” ch. 2 in </w:t>
      </w:r>
      <w:r>
        <w:rPr>
          <w:i/>
        </w:rPr>
        <w:t>Legal Pathways to Deep Decarbonization in the United States</w:t>
      </w:r>
      <w:r>
        <w:t xml:space="preserve"> (Michael B. Gerrard &amp; John C. Dernbach, eds., 2019), pp. 70-86</w:t>
      </w:r>
    </w:p>
    <w:p w:rsidR="0044338F" w:rsidRPr="0044338F" w:rsidRDefault="0044338F" w:rsidP="002D716F"/>
    <w:p w:rsidR="009321BF" w:rsidRPr="009321BF" w:rsidRDefault="009321BF" w:rsidP="002D716F">
      <w:r>
        <w:rPr>
          <w:i/>
        </w:rPr>
        <w:t>High Country Conservation Advocates v. United States Forest Service</w:t>
      </w:r>
      <w:r>
        <w:t>, 2014 WL 2922751 (D.Co. 2014) (excerpts)</w:t>
      </w:r>
    </w:p>
    <w:p w:rsidR="002D716F" w:rsidRPr="002D716F" w:rsidRDefault="002D716F" w:rsidP="002D716F"/>
    <w:p w:rsidR="00E502CD" w:rsidRDefault="00E502CD" w:rsidP="002D716F">
      <w:r>
        <w:lastRenderedPageBreak/>
        <w:t>James A. Baker, III, et al., The Conservative Case for Carbon Dividends (Climate Leadership Council, February 2017)</w:t>
      </w:r>
    </w:p>
    <w:p w:rsidR="009321BF" w:rsidRDefault="0022729F" w:rsidP="002D716F">
      <w:r w:rsidRPr="0022729F">
        <w:t>https://www.clcouncil.org/media/2017/03/The-Conservative-Case-for-Carbon-Dividends.pdf</w:t>
      </w:r>
    </w:p>
    <w:p w:rsidR="00EE18F3" w:rsidRDefault="00EE18F3" w:rsidP="002D716F"/>
    <w:p w:rsidR="002D716F" w:rsidRPr="002D716F" w:rsidRDefault="002D716F" w:rsidP="002D716F">
      <w:r w:rsidRPr="002D716F">
        <w:t xml:space="preserve"> </w:t>
      </w:r>
    </w:p>
    <w:p w:rsidR="002D716F" w:rsidRPr="00EE18F3" w:rsidRDefault="000E66C4" w:rsidP="002D716F">
      <w:pPr>
        <w:rPr>
          <w:b/>
        </w:rPr>
      </w:pPr>
      <w:r w:rsidRPr="00EE18F3">
        <w:rPr>
          <w:b/>
        </w:rPr>
        <w:t xml:space="preserve">Class 24: April </w:t>
      </w:r>
      <w:r w:rsidR="00C22629">
        <w:rPr>
          <w:b/>
        </w:rPr>
        <w:t>16</w:t>
      </w:r>
    </w:p>
    <w:p w:rsidR="002D716F" w:rsidRPr="002D716F" w:rsidRDefault="002D716F" w:rsidP="002D716F">
      <w:pPr>
        <w:rPr>
          <w:b/>
        </w:rPr>
      </w:pPr>
      <w:r w:rsidRPr="002D716F">
        <w:rPr>
          <w:b/>
        </w:rPr>
        <w:t>Climate Policy Targets and Methods</w:t>
      </w:r>
    </w:p>
    <w:p w:rsidR="002D716F" w:rsidRDefault="002D716F" w:rsidP="002D716F">
      <w:pPr>
        <w:rPr>
          <w:b/>
        </w:rPr>
      </w:pPr>
    </w:p>
    <w:p w:rsidR="00863951" w:rsidRDefault="00863951" w:rsidP="002D716F">
      <w:r>
        <w:t>Mat Hope &amp; Rosamund Pearce, “Two degrees: The history of climate change’s ‘speed limit’,” Carbonbrief.org, December 8, 2013</w:t>
      </w:r>
    </w:p>
    <w:p w:rsidR="0022729F" w:rsidRDefault="0022729F" w:rsidP="002D716F">
      <w:r w:rsidRPr="0022729F">
        <w:t>https://www.carbonbrief.org/two-degrees-the-history-of-climate-changes-speed-limit</w:t>
      </w:r>
    </w:p>
    <w:p w:rsidR="00B27BCC" w:rsidRDefault="00B27BCC" w:rsidP="002D716F"/>
    <w:p w:rsidR="00863951" w:rsidRDefault="00863951" w:rsidP="002D716F"/>
    <w:p w:rsidR="00582D91" w:rsidRDefault="007C05FA" w:rsidP="002D716F">
      <w:r>
        <w:t>Zeke Hausfather &amp; Justin Ritchie, “A 3C World is Now ‘Business as Usual,’” Breakthrough Institute, December 18, 2019</w:t>
      </w:r>
    </w:p>
    <w:p w:rsidR="007C05FA" w:rsidRDefault="002F286D" w:rsidP="002D716F">
      <w:hyperlink r:id="rId60" w:history="1">
        <w:r w:rsidR="007C05FA" w:rsidRPr="007C05FA">
          <w:rPr>
            <w:color w:val="0000FF"/>
            <w:u w:val="single"/>
          </w:rPr>
          <w:t>https://thebreakthrough.org/issues/energy/3c-world</w:t>
        </w:r>
      </w:hyperlink>
    </w:p>
    <w:p w:rsidR="007C05FA" w:rsidRDefault="007C05FA" w:rsidP="002D716F"/>
    <w:p w:rsidR="007C05FA" w:rsidRDefault="007C05FA" w:rsidP="002D716F"/>
    <w:p w:rsidR="002D716F" w:rsidRDefault="002D716F" w:rsidP="002D716F">
      <w:r w:rsidRPr="002D716F">
        <w:t>David Hunter &amp; Chris Wold, “Addressing Climate Change Through Non-Climate International Instruments,” Chapter 22 in Gerrard &amp; Freeman</w:t>
      </w:r>
      <w:r w:rsidR="00ED11DA">
        <w:t>, pp. 747-767</w:t>
      </w:r>
    </w:p>
    <w:p w:rsidR="007C05FA" w:rsidRDefault="007C05FA" w:rsidP="002D716F"/>
    <w:p w:rsidR="007C05FA" w:rsidRDefault="007C05FA" w:rsidP="002D716F">
      <w:r>
        <w:t>Jeffrey Sachs, “Getting to a Carbon-Free Economy,” American Prospect, December 5, 2019</w:t>
      </w:r>
    </w:p>
    <w:p w:rsidR="007C05FA" w:rsidRPr="002D716F" w:rsidRDefault="002F286D" w:rsidP="002D716F">
      <w:hyperlink r:id="rId61" w:history="1">
        <w:r w:rsidR="007C05FA" w:rsidRPr="007C05FA">
          <w:rPr>
            <w:color w:val="0000FF"/>
            <w:u w:val="single"/>
          </w:rPr>
          <w:t>https://prospect.org/greennewdeal/getting-to-a-carbon-free-economy/</w:t>
        </w:r>
      </w:hyperlink>
    </w:p>
    <w:p w:rsidR="002D716F" w:rsidRPr="002D716F" w:rsidRDefault="002D716F" w:rsidP="002D716F"/>
    <w:p w:rsidR="002D716F" w:rsidRPr="002D716F" w:rsidRDefault="002D716F" w:rsidP="002D716F"/>
    <w:p w:rsidR="002D716F" w:rsidRPr="002D716F" w:rsidRDefault="002D716F" w:rsidP="002D716F">
      <w:pPr>
        <w:rPr>
          <w:b/>
        </w:rPr>
      </w:pPr>
      <w:r w:rsidRPr="002D716F">
        <w:rPr>
          <w:b/>
        </w:rPr>
        <w:t xml:space="preserve">Class 25: April </w:t>
      </w:r>
      <w:r w:rsidR="00C22629">
        <w:rPr>
          <w:b/>
        </w:rPr>
        <w:t>21</w:t>
      </w:r>
    </w:p>
    <w:p w:rsidR="002D716F" w:rsidRPr="002D716F" w:rsidRDefault="002D716F" w:rsidP="002D716F">
      <w:pPr>
        <w:rPr>
          <w:b/>
        </w:rPr>
      </w:pPr>
      <w:r w:rsidRPr="002D716F">
        <w:rPr>
          <w:b/>
        </w:rPr>
        <w:t>Environmental justice</w:t>
      </w:r>
      <w:r w:rsidR="00693024">
        <w:rPr>
          <w:b/>
        </w:rPr>
        <w:t>, climate justice</w:t>
      </w:r>
    </w:p>
    <w:p w:rsidR="002D716F" w:rsidRPr="002D716F" w:rsidRDefault="002D716F" w:rsidP="002D716F">
      <w:pPr>
        <w:rPr>
          <w:b/>
        </w:rPr>
      </w:pPr>
    </w:p>
    <w:p w:rsidR="002D716F" w:rsidRPr="002D716F" w:rsidRDefault="002D716F" w:rsidP="002D716F"/>
    <w:p w:rsidR="002D716F" w:rsidRDefault="002D716F" w:rsidP="002D716F">
      <w:r w:rsidRPr="002D716F">
        <w:t xml:space="preserve">Robert N. Stavins, “Enviro Justice and Cap-and-Trade,” </w:t>
      </w:r>
      <w:r w:rsidRPr="002D716F">
        <w:rPr>
          <w:i/>
        </w:rPr>
        <w:t>The Environmental Forum</w:t>
      </w:r>
      <w:r w:rsidRPr="002D716F">
        <w:t>, page 20 (May/June 2008)</w:t>
      </w:r>
    </w:p>
    <w:p w:rsidR="0022729F" w:rsidRPr="002D716F" w:rsidRDefault="0022729F" w:rsidP="002D716F">
      <w:r w:rsidRPr="0022729F">
        <w:t>https://scholar.harvard.edu/files/stavins/files/column_24.pdf</w:t>
      </w:r>
    </w:p>
    <w:p w:rsidR="002D716F" w:rsidRPr="002D716F" w:rsidRDefault="002D716F" w:rsidP="002D716F"/>
    <w:p w:rsidR="002D716F" w:rsidRDefault="007C05FA" w:rsidP="002D716F">
      <w:r>
        <w:t>Alice Kaswan, “California Climate Policies Serving Climate Justice,” Natural Resources &amp; Environment, Spring 2019, pp. 12- 16</w:t>
      </w:r>
    </w:p>
    <w:p w:rsidR="001D1F8C" w:rsidRDefault="001D1F8C" w:rsidP="002D716F"/>
    <w:p w:rsidR="001D1F8C" w:rsidRDefault="001D1F8C" w:rsidP="002D716F">
      <w:r>
        <w:t>Asian Pacific Environmental Network et al., “HB 2020: Oregon’s Carbon Trading Bill – Take Action!”, April 2019</w:t>
      </w:r>
    </w:p>
    <w:p w:rsidR="001D1F8C" w:rsidRDefault="002F286D" w:rsidP="002D716F">
      <w:hyperlink r:id="rId62" w:history="1">
        <w:r w:rsidR="001D1F8C" w:rsidRPr="001D1F8C">
          <w:rPr>
            <w:color w:val="0000FF"/>
            <w:u w:val="single"/>
          </w:rPr>
          <w:t>http://www.opalpdx.org/2019/04/hb2020/</w:t>
        </w:r>
      </w:hyperlink>
    </w:p>
    <w:p w:rsidR="007C05FA" w:rsidRPr="002D716F" w:rsidRDefault="007C05FA" w:rsidP="002D716F"/>
    <w:p w:rsidR="002D716F" w:rsidRDefault="002D716F" w:rsidP="002D716F">
      <w:r w:rsidRPr="002D716F">
        <w:t xml:space="preserve">Bjorn Lomborg, “The Poor Need Cheap Fossil Fuels,” </w:t>
      </w:r>
      <w:r w:rsidRPr="002D716F">
        <w:rPr>
          <w:i/>
        </w:rPr>
        <w:t>New York Times</w:t>
      </w:r>
      <w:r w:rsidRPr="002D716F">
        <w:t>, December 3, 2013</w:t>
      </w:r>
    </w:p>
    <w:p w:rsidR="0022729F" w:rsidRPr="002D716F" w:rsidRDefault="0022729F" w:rsidP="002D716F">
      <w:r w:rsidRPr="0022729F">
        <w:t>https://www.nytimes.com/2013/12/04/opinion/the-poor-need-cheap-fossil-fuels.html</w:t>
      </w:r>
    </w:p>
    <w:p w:rsidR="006608F0" w:rsidRDefault="006608F0" w:rsidP="002D716F"/>
    <w:p w:rsidR="001827DE" w:rsidRDefault="001827DE" w:rsidP="002D716F">
      <w:r>
        <w:t xml:space="preserve">Nicholas Kristof, “As Donald Trump Denies Climate Change, These Kids Die of It,” </w:t>
      </w:r>
      <w:r>
        <w:rPr>
          <w:i/>
        </w:rPr>
        <w:t>New York Times</w:t>
      </w:r>
      <w:r>
        <w:t>, January 6, 2017</w:t>
      </w:r>
    </w:p>
    <w:p w:rsidR="0022729F" w:rsidRPr="001827DE" w:rsidRDefault="00C4653A" w:rsidP="002D716F">
      <w:r w:rsidRPr="00C4653A">
        <w:t>https://www.nytimes.com/2017/01/06/opinion/sunday/as-donald-trump-denies-climate-change-these-kids-die-of-it.html</w:t>
      </w:r>
    </w:p>
    <w:p w:rsidR="002D716F" w:rsidRPr="002D716F" w:rsidRDefault="002D716F" w:rsidP="002D716F"/>
    <w:p w:rsidR="002D716F" w:rsidRPr="002D716F" w:rsidRDefault="002D716F" w:rsidP="002D716F">
      <w:r w:rsidRPr="002D716F">
        <w:lastRenderedPageBreak/>
        <w:t>Shoibal Chakravarty et al., “Sharing global CO</w:t>
      </w:r>
      <w:r w:rsidRPr="002D716F">
        <w:rPr>
          <w:vertAlign w:val="subscript"/>
        </w:rPr>
        <w:t>2</w:t>
      </w:r>
      <w:r w:rsidRPr="002D716F">
        <w:t xml:space="preserve"> emission reductions among one billion high emitters,” </w:t>
      </w:r>
      <w:r w:rsidRPr="002D716F">
        <w:rPr>
          <w:i/>
        </w:rPr>
        <w:t>PNAS Early Edition</w:t>
      </w:r>
      <w:r w:rsidRPr="002D716F">
        <w:t xml:space="preserve"> (2008)</w:t>
      </w:r>
    </w:p>
    <w:p w:rsidR="002D716F" w:rsidRDefault="002F286D" w:rsidP="002D716F">
      <w:hyperlink r:id="rId63" w:history="1">
        <w:r w:rsidR="007C05FA" w:rsidRPr="00E8685E">
          <w:rPr>
            <w:rStyle w:val="Hyperlink"/>
          </w:rPr>
          <w:t>https://www.pnas.org/content/106/29/11884</w:t>
        </w:r>
      </w:hyperlink>
    </w:p>
    <w:p w:rsidR="007C05FA" w:rsidRDefault="007C05FA" w:rsidP="002D716F"/>
    <w:p w:rsidR="00CC2025" w:rsidRPr="002D716F" w:rsidRDefault="007C05FA" w:rsidP="002D716F">
      <w:pPr>
        <w:rPr>
          <w:b/>
        </w:rPr>
      </w:pPr>
      <w:r>
        <w:t>Akshat Rathi,”Stop using India’s coal power plants as an excuse for climate inaction,” Quartz India, J</w:t>
      </w:r>
      <w:r w:rsidR="001D1F8C">
        <w:t>uly 18, 2019</w:t>
      </w:r>
      <w:hyperlink r:id="rId64" w:history="1">
        <w:r w:rsidRPr="007C05FA">
          <w:rPr>
            <w:color w:val="0000FF"/>
            <w:u w:val="single"/>
          </w:rPr>
          <w:t>https://qz.com/india/1669182/indias-coal-power-plants-arent-an-excuse-for-climate-inaction/</w:t>
        </w:r>
      </w:hyperlink>
    </w:p>
    <w:p w:rsidR="002D716F" w:rsidRPr="002D716F" w:rsidRDefault="002D716F" w:rsidP="002D716F">
      <w:pPr>
        <w:rPr>
          <w:b/>
        </w:rPr>
      </w:pPr>
    </w:p>
    <w:p w:rsidR="002D716F" w:rsidRPr="002D716F" w:rsidRDefault="002D716F" w:rsidP="002D716F">
      <w:pPr>
        <w:rPr>
          <w:b/>
        </w:rPr>
      </w:pPr>
      <w:r w:rsidRPr="002D716F">
        <w:rPr>
          <w:b/>
        </w:rPr>
        <w:t xml:space="preserve">Class 26: April </w:t>
      </w:r>
      <w:r w:rsidR="00C22629">
        <w:rPr>
          <w:b/>
        </w:rPr>
        <w:t>23</w:t>
      </w:r>
    </w:p>
    <w:p w:rsidR="002D716F" w:rsidRPr="002D716F" w:rsidRDefault="002D716F" w:rsidP="002D716F">
      <w:pPr>
        <w:rPr>
          <w:b/>
        </w:rPr>
      </w:pPr>
      <w:r w:rsidRPr="002D716F">
        <w:rPr>
          <w:b/>
        </w:rPr>
        <w:t>Adaptation</w:t>
      </w:r>
    </w:p>
    <w:p w:rsidR="002D716F" w:rsidRPr="002D716F" w:rsidRDefault="002D716F" w:rsidP="002D716F">
      <w:pPr>
        <w:rPr>
          <w:b/>
        </w:rPr>
      </w:pPr>
    </w:p>
    <w:p w:rsidR="002D716F" w:rsidRPr="002D716F" w:rsidRDefault="002D716F" w:rsidP="002D716F">
      <w:r w:rsidRPr="002D716F">
        <w:t>J.B. Ruhl, “Climate Adaptation Law,” Chapter 20 in Gerrard &amp; Freeman</w:t>
      </w:r>
    </w:p>
    <w:p w:rsidR="002D716F" w:rsidRPr="002D716F" w:rsidRDefault="002D716F" w:rsidP="002D716F"/>
    <w:p w:rsidR="002D716F" w:rsidRPr="002D716F" w:rsidRDefault="002D716F" w:rsidP="002D716F">
      <w:r w:rsidRPr="002D716F">
        <w:t xml:space="preserve">Michael B. Gerrard, “Introduction and Overview,” in </w:t>
      </w:r>
      <w:r w:rsidRPr="002D716F">
        <w:rPr>
          <w:i/>
        </w:rPr>
        <w:t>The Law of Adaptation to Climate Change: U.S. and International Aspects</w:t>
      </w:r>
      <w:r w:rsidRPr="002D716F">
        <w:t xml:space="preserve"> (Michael B. Gerrard &amp; Katrina  Fischer Kuh, eds. 2012), pp. 3-</w:t>
      </w:r>
      <w:r w:rsidR="00EA518D">
        <w:t xml:space="preserve">4, </w:t>
      </w:r>
      <w:r w:rsidR="00693024">
        <w:t>9 - 15</w:t>
      </w:r>
    </w:p>
    <w:p w:rsidR="002D716F" w:rsidRDefault="002D716F" w:rsidP="002D716F"/>
    <w:p w:rsidR="00C100C2" w:rsidRDefault="00C100C2" w:rsidP="002D716F">
      <w:r>
        <w:rPr>
          <w:i/>
        </w:rPr>
        <w:t>Conservation Law Foundation v. ExxonMobil</w:t>
      </w:r>
      <w:r>
        <w:t xml:space="preserve"> (D.MA.), Complaint for Declaratory and Injunctive Relief and Civil Penalties (September 29, 2016) (skim)</w:t>
      </w:r>
    </w:p>
    <w:p w:rsidR="00C4653A" w:rsidRDefault="00C4653A" w:rsidP="002D716F">
      <w:r w:rsidRPr="00C4653A">
        <w:t>https://www.clf.org/wp-content/uploads/2016/09/CLF-v.-ExxonMobil-Complaint.pdf</w:t>
      </w:r>
    </w:p>
    <w:p w:rsidR="00C100C2" w:rsidRDefault="00C100C2" w:rsidP="002D716F"/>
    <w:p w:rsidR="00C100C2" w:rsidRDefault="00C100C2" w:rsidP="002D716F">
      <w:r>
        <w:rPr>
          <w:i/>
        </w:rPr>
        <w:t>Conservation Law Foundation v. ExxonMobil</w:t>
      </w:r>
      <w:r>
        <w:t xml:space="preserve"> (D.MA), Order (September 13, 2017)</w:t>
      </w:r>
    </w:p>
    <w:p w:rsidR="00C4653A" w:rsidRDefault="00C4653A" w:rsidP="002D716F">
      <w:r w:rsidRPr="00C4653A">
        <w:t>http://www.lawandenvironment.com/wp-content/uploads/sites/5/2017/09/conservation.pdf</w:t>
      </w:r>
    </w:p>
    <w:p w:rsidR="00504BA1" w:rsidRPr="00504BA1" w:rsidRDefault="00504BA1" w:rsidP="002D716F"/>
    <w:p w:rsidR="002D716F" w:rsidRDefault="001D1F8C" w:rsidP="002D716F">
      <w:r>
        <w:t xml:space="preserve">A.R. Siders et al., “The case for strategic and managed climate retreat,” </w:t>
      </w:r>
      <w:r w:rsidR="00F64D0A">
        <w:t>365 Science 761 (August 23, 2019)</w:t>
      </w:r>
    </w:p>
    <w:p w:rsidR="00F64D0A" w:rsidRDefault="002F286D" w:rsidP="002D716F">
      <w:hyperlink r:id="rId65" w:history="1">
        <w:r w:rsidR="00F64D0A" w:rsidRPr="00F64D0A">
          <w:rPr>
            <w:color w:val="0000FF"/>
            <w:u w:val="single"/>
          </w:rPr>
          <w:t>https://science.sciencemag.org/content/365/6455/761</w:t>
        </w:r>
      </w:hyperlink>
    </w:p>
    <w:p w:rsidR="00F64D0A" w:rsidRPr="002D716F" w:rsidRDefault="00F64D0A" w:rsidP="002D716F"/>
    <w:p w:rsidR="002D716F" w:rsidRPr="002D716F" w:rsidRDefault="002D716F" w:rsidP="002D716F"/>
    <w:p w:rsidR="002D716F" w:rsidRPr="002D716F" w:rsidRDefault="002D716F" w:rsidP="002D716F">
      <w:pPr>
        <w:rPr>
          <w:b/>
        </w:rPr>
      </w:pPr>
      <w:r w:rsidRPr="002D716F">
        <w:rPr>
          <w:b/>
        </w:rPr>
        <w:t xml:space="preserve">Class 27: April </w:t>
      </w:r>
      <w:r w:rsidR="00C22629">
        <w:rPr>
          <w:b/>
        </w:rPr>
        <w:t>28</w:t>
      </w:r>
    </w:p>
    <w:p w:rsidR="002D716F" w:rsidRPr="002D716F" w:rsidRDefault="002D716F" w:rsidP="002D716F">
      <w:pPr>
        <w:rPr>
          <w:b/>
        </w:rPr>
      </w:pPr>
      <w:r w:rsidRPr="002D716F">
        <w:rPr>
          <w:b/>
        </w:rPr>
        <w:t>Geoengineering</w:t>
      </w:r>
    </w:p>
    <w:p w:rsidR="002D716F" w:rsidRPr="002D716F" w:rsidRDefault="002D716F" w:rsidP="002D716F"/>
    <w:p w:rsidR="002D716F" w:rsidRPr="002D716F" w:rsidRDefault="002D716F" w:rsidP="002D716F"/>
    <w:p w:rsidR="002D716F" w:rsidRDefault="00036C67" w:rsidP="002D716F">
      <w:r>
        <w:t xml:space="preserve">Michael B. Gerrard &amp; Tracy Hester, </w:t>
      </w:r>
      <w:r>
        <w:rPr>
          <w:i/>
        </w:rPr>
        <w:t>The Law of Climate Engineering: Governance and Liability for Solar Radiation Management and Carbon Dioxide Removal</w:t>
      </w:r>
      <w:r>
        <w:t xml:space="preserve"> (Cambridge University Press, 2018), chapters 1, 7</w:t>
      </w:r>
    </w:p>
    <w:p w:rsidR="006B219E" w:rsidRDefault="006B219E" w:rsidP="002D716F"/>
    <w:p w:rsidR="00036C67" w:rsidRDefault="00F64D0A" w:rsidP="002D716F">
      <w:r>
        <w:t>Tracy Hester, “Legal Pathways to Negative Emissions Technologies and Direct Air Capture of Greenhouse Gases,” 48 Environmental Law Reporter 10413 (2018) (skim)</w:t>
      </w:r>
    </w:p>
    <w:p w:rsidR="00F64D0A" w:rsidRDefault="002F286D" w:rsidP="002D716F">
      <w:hyperlink r:id="rId66" w:history="1">
        <w:r w:rsidR="00BD4696" w:rsidRPr="00BD4696">
          <w:rPr>
            <w:color w:val="0000FF"/>
            <w:u w:val="single"/>
          </w:rPr>
          <w:t>https://www.law.uh.edu/faculty/thester/Legal%20Pathways%20to%20Broad%20Use%20of%20NETs%20and%20DAC%20by%20Hester.pdf</w:t>
        </w:r>
      </w:hyperlink>
    </w:p>
    <w:p w:rsidR="00BD4696" w:rsidRPr="00036C67" w:rsidRDefault="00BD4696" w:rsidP="002D716F"/>
    <w:p w:rsidR="002D716F" w:rsidRDefault="0087082F" w:rsidP="002D716F">
      <w:r>
        <w:t xml:space="preserve">Naomi Klein, </w:t>
      </w:r>
      <w:r>
        <w:rPr>
          <w:i/>
        </w:rPr>
        <w:t>This Changes Everything: Capitalism vs. the Climate</w:t>
      </w:r>
      <w:r>
        <w:t xml:space="preserve"> (2014), pp. 256-290</w:t>
      </w:r>
    </w:p>
    <w:p w:rsidR="0087082F" w:rsidRPr="002D716F" w:rsidRDefault="0087082F" w:rsidP="002D716F"/>
    <w:p w:rsidR="008007F6" w:rsidRDefault="008007F6" w:rsidP="002D716F"/>
    <w:p w:rsidR="008007F6" w:rsidRPr="002D716F" w:rsidRDefault="008007F6" w:rsidP="002D716F"/>
    <w:p w:rsidR="002D716F" w:rsidRPr="00710879" w:rsidRDefault="002D716F" w:rsidP="002D716F"/>
    <w:sectPr w:rsidR="002D716F" w:rsidRPr="00710879" w:rsidSect="006E72EC">
      <w:headerReference w:type="even" r:id="rId67"/>
      <w:headerReference w:type="default" r:id="rId68"/>
      <w:footerReference w:type="even" r:id="rId69"/>
      <w:footerReference w:type="default" r:id="rId70"/>
      <w:headerReference w:type="first" r:id="rId71"/>
      <w:footerReference w:type="first" r:id="rId72"/>
      <w:pgSz w:w="12240" w:h="15840" w:code="1"/>
      <w:pgMar w:top="1350" w:right="1260" w:bottom="117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286D" w:rsidRDefault="002F286D">
      <w:r>
        <w:separator/>
      </w:r>
    </w:p>
  </w:endnote>
  <w:endnote w:type="continuationSeparator" w:id="0">
    <w:p w:rsidR="002F286D" w:rsidRDefault="002F28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Hei">
    <w:altName w:val="黑体"/>
    <w:panose1 w:val="02010609060101010101"/>
    <w:charset w:val="86"/>
    <w:family w:val="modern"/>
    <w:notTrueType/>
    <w:pitch w:val="fixed"/>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1F8C" w:rsidRDefault="001D1F8C">
    <w:pPr>
      <w:pStyle w:val="Footer"/>
    </w:pPr>
    <w:r>
      <w:tab/>
    </w:r>
    <w:r>
      <w:rPr>
        <w:rStyle w:val="PageNumber"/>
      </w:rPr>
      <w:fldChar w:fldCharType="begin"/>
    </w:r>
    <w:r>
      <w:rPr>
        <w:rStyle w:val="PageNumber"/>
      </w:rPr>
      <w:instrText xml:space="preserve"> PAGE  \* MERGEFORMAT </w:instrText>
    </w:r>
    <w:r>
      <w:rPr>
        <w:rStyle w:val="PageNumber"/>
      </w:rPr>
      <w:fldChar w:fldCharType="separate"/>
    </w:r>
    <w:r>
      <w:rPr>
        <w:rStyle w:val="PageNumber"/>
      </w:rPr>
      <w:t>10</w:t>
    </w:r>
    <w:r>
      <w:rPr>
        <w:rStyle w:val="PageNumbe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1F8C" w:rsidRDefault="001D1F8C">
    <w:pPr>
      <w:pStyle w:val="Footer"/>
    </w:pPr>
    <w:r>
      <w:tab/>
    </w:r>
    <w:r>
      <w:rPr>
        <w:rStyle w:val="PageNumber"/>
      </w:rPr>
      <w:fldChar w:fldCharType="begin"/>
    </w:r>
    <w:r>
      <w:rPr>
        <w:rStyle w:val="PageNumber"/>
      </w:rPr>
      <w:instrText xml:space="preserve"> PAGE  \* MERGEFORMAT </w:instrText>
    </w:r>
    <w:r>
      <w:rPr>
        <w:rStyle w:val="PageNumber"/>
      </w:rPr>
      <w:fldChar w:fldCharType="separate"/>
    </w:r>
    <w:r w:rsidR="005B4FD2">
      <w:rPr>
        <w:rStyle w:val="PageNumber"/>
        <w:noProof/>
      </w:rPr>
      <w:t>4</w:t>
    </w:r>
    <w:r>
      <w:rPr>
        <w:rStyle w:val="PageNumber"/>
      </w:rPr>
      <w:fldChar w:fldCharType="end"/>
    </w:r>
    <w:r>
      <w:rPr>
        <w:rStyle w:val="PageNumber"/>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1F8C" w:rsidRDefault="001D1F8C">
    <w:pPr>
      <w:pStyle w:val="Footer"/>
    </w:pPr>
    <w:r>
      <w:tab/>
    </w:r>
    <w:r>
      <w:rPr>
        <w:rStyle w:val="PageNumber"/>
      </w:rPr>
      <w:fldChar w:fldCharType="begin"/>
    </w:r>
    <w:r>
      <w:rPr>
        <w:rStyle w:val="PageNumber"/>
      </w:rPr>
      <w:instrText xml:space="preserve"> PAGE  \* MERGEFORMAT </w:instrText>
    </w:r>
    <w:r>
      <w:rPr>
        <w:rStyle w:val="PageNumber"/>
      </w:rPr>
      <w:fldChar w:fldCharType="separate"/>
    </w:r>
    <w:r>
      <w:rPr>
        <w:rStyle w:val="PageNumber"/>
      </w:rPr>
      <w:t>1</w:t>
    </w:r>
    <w:r>
      <w:rPr>
        <w:rStyle w:val="PageNumber"/>
      </w:rPr>
      <w:fldChar w:fldCharType="end"/>
    </w:r>
  </w:p>
  <w:p w:rsidR="001D1F8C" w:rsidRDefault="002F286D">
    <w:pPr>
      <w:pStyle w:val="Footer"/>
    </w:pPr>
    <w:r>
      <w:fldChar w:fldCharType="begin"/>
    </w:r>
    <w:r>
      <w:instrText xml:space="preserve"> DOCPROPERTY "DOCID" \* MERGEFORMAT </w:instrText>
    </w:r>
    <w:r>
      <w:fldChar w:fldCharType="separate"/>
    </w:r>
    <w:r w:rsidR="001E7AAE" w:rsidRPr="001E7AAE">
      <w:rPr>
        <w:rStyle w:val="DocID"/>
      </w:rPr>
      <w:t>74654290v2</w:t>
    </w:r>
    <w:r>
      <w:rPr>
        <w:rStyle w:val="DocID"/>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286D" w:rsidRDefault="002F286D">
      <w:r>
        <w:separator/>
      </w:r>
    </w:p>
  </w:footnote>
  <w:footnote w:type="continuationSeparator" w:id="0">
    <w:p w:rsidR="002F286D" w:rsidRDefault="002F286D">
      <w:r>
        <w:separator/>
      </w:r>
    </w:p>
    <w:p w:rsidR="002F286D" w:rsidRDefault="002F286D">
      <w:pPr>
        <w:rPr>
          <w:sz w:val="18"/>
          <w:szCs w:val="18"/>
        </w:rPr>
      </w:pPr>
      <w:r>
        <w:rPr>
          <w:sz w:val="18"/>
          <w:szCs w:val="18"/>
        </w:rPr>
        <w:t>Footnote continued from previous page</w:t>
      </w:r>
    </w:p>
  </w:footnote>
  <w:footnote w:type="continuationNotice" w:id="1">
    <w:p w:rsidR="002F286D" w:rsidRDefault="002F286D">
      <w:pPr>
        <w:jc w:val="right"/>
        <w:rPr>
          <w:sz w:val="18"/>
          <w:szCs w:val="18"/>
        </w:rPr>
      </w:pPr>
      <w:r>
        <w:rPr>
          <w:sz w:val="18"/>
          <w:szCs w:val="18"/>
        </w:rPr>
        <w:t>Footnote continued on next page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1F8C" w:rsidRDefault="001D1F8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1F8C" w:rsidRDefault="001D1F8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1F8C" w:rsidRDefault="001D1F8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1D7C7FDA"/>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117F6E13"/>
    <w:multiLevelType w:val="multilevel"/>
    <w:tmpl w:val="CEBA6586"/>
    <w:name w:val="AP Default Numbering Scheme"/>
    <w:lvl w:ilvl="0">
      <w:start w:val="1"/>
      <w:numFmt w:val="upperRoman"/>
      <w:pStyle w:val="Heading1"/>
      <w:lvlText w:val="%1."/>
      <w:lvlJc w:val="left"/>
      <w:pPr>
        <w:tabs>
          <w:tab w:val="num" w:pos="720"/>
        </w:tabs>
        <w:ind w:left="720" w:hanging="720"/>
      </w:pPr>
      <w:rPr>
        <w:color w:val="000000"/>
        <w:u w:val="none"/>
      </w:rPr>
    </w:lvl>
    <w:lvl w:ilvl="1">
      <w:start w:val="1"/>
      <w:numFmt w:val="upperLetter"/>
      <w:pStyle w:val="Heading2"/>
      <w:lvlText w:val="%2."/>
      <w:lvlJc w:val="left"/>
      <w:pPr>
        <w:tabs>
          <w:tab w:val="num" w:pos="1440"/>
        </w:tabs>
        <w:ind w:left="1440" w:hanging="720"/>
      </w:pPr>
      <w:rPr>
        <w:color w:val="000000"/>
        <w:u w:val="none"/>
      </w:rPr>
    </w:lvl>
    <w:lvl w:ilvl="2">
      <w:start w:val="1"/>
      <w:numFmt w:val="decimal"/>
      <w:pStyle w:val="Heading3"/>
      <w:lvlText w:val="%3."/>
      <w:lvlJc w:val="left"/>
      <w:pPr>
        <w:tabs>
          <w:tab w:val="num" w:pos="2160"/>
        </w:tabs>
        <w:ind w:left="2160" w:hanging="720"/>
      </w:pPr>
      <w:rPr>
        <w:color w:val="000000"/>
        <w:u w:val="none"/>
      </w:rPr>
    </w:lvl>
    <w:lvl w:ilvl="3">
      <w:start w:val="1"/>
      <w:numFmt w:val="lowerLetter"/>
      <w:pStyle w:val="Heading4"/>
      <w:lvlText w:val="%4."/>
      <w:lvlJc w:val="left"/>
      <w:pPr>
        <w:tabs>
          <w:tab w:val="num" w:pos="2880"/>
        </w:tabs>
        <w:ind w:left="2880" w:hanging="720"/>
      </w:pPr>
      <w:rPr>
        <w:color w:val="000000"/>
        <w:u w:val="none"/>
      </w:rPr>
    </w:lvl>
    <w:lvl w:ilvl="4">
      <w:start w:val="1"/>
      <w:numFmt w:val="lowerRoman"/>
      <w:pStyle w:val="Heading5"/>
      <w:lvlText w:val="(%5)"/>
      <w:lvlJc w:val="left"/>
      <w:pPr>
        <w:tabs>
          <w:tab w:val="num" w:pos="3600"/>
        </w:tabs>
        <w:ind w:left="3600" w:hanging="715"/>
      </w:pPr>
      <w:rPr>
        <w:color w:val="000000"/>
        <w:u w:val="none"/>
      </w:rPr>
    </w:lvl>
    <w:lvl w:ilvl="5">
      <w:start w:val="1"/>
      <w:numFmt w:val="lowerLetter"/>
      <w:pStyle w:val="Heading6"/>
      <w:lvlText w:val="(%6)"/>
      <w:lvlJc w:val="left"/>
      <w:pPr>
        <w:tabs>
          <w:tab w:val="num" w:pos="4325"/>
        </w:tabs>
        <w:ind w:left="4325" w:hanging="720"/>
      </w:pPr>
      <w:rPr>
        <w:color w:val="000000"/>
        <w:u w:val="none"/>
      </w:rPr>
    </w:lvl>
    <w:lvl w:ilvl="6">
      <w:start w:val="1"/>
      <w:numFmt w:val="upperRoman"/>
      <w:pStyle w:val="Heading7"/>
      <w:lvlText w:val="(%7)"/>
      <w:lvlJc w:val="left"/>
      <w:pPr>
        <w:tabs>
          <w:tab w:val="num" w:pos="5040"/>
        </w:tabs>
        <w:ind w:left="5040" w:hanging="720"/>
      </w:pPr>
      <w:rPr>
        <w:color w:val="000000"/>
        <w:u w:val="none"/>
      </w:rPr>
    </w:lvl>
    <w:lvl w:ilvl="7">
      <w:start w:val="1"/>
      <w:numFmt w:val="upperLetter"/>
      <w:pStyle w:val="Heading8"/>
      <w:lvlText w:val="(%8)"/>
      <w:lvlJc w:val="left"/>
      <w:pPr>
        <w:tabs>
          <w:tab w:val="num" w:pos="5760"/>
        </w:tabs>
        <w:ind w:left="5760" w:hanging="720"/>
      </w:pPr>
      <w:rPr>
        <w:color w:val="000000"/>
        <w:u w:val="none"/>
      </w:rPr>
    </w:lvl>
    <w:lvl w:ilvl="8">
      <w:start w:val="1"/>
      <w:numFmt w:val="decimal"/>
      <w:pStyle w:val="Heading9"/>
      <w:lvlText w:val="(%9)"/>
      <w:lvlJc w:val="left"/>
      <w:pPr>
        <w:tabs>
          <w:tab w:val="num" w:pos="6480"/>
        </w:tabs>
        <w:ind w:left="6480" w:hanging="720"/>
      </w:pPr>
      <w:rPr>
        <w:color w:val="000000"/>
        <w:u w:val="none"/>
      </w:rPr>
    </w:lvl>
  </w:abstractNum>
  <w:abstractNum w:abstractNumId="2">
    <w:nsid w:val="6053162A"/>
    <w:multiLevelType w:val="multilevel"/>
    <w:tmpl w:val="A32C47F0"/>
    <w:lvl w:ilvl="0">
      <w:start w:val="1"/>
      <w:numFmt w:val="upperRoman"/>
      <w:lvlText w:val="%1."/>
      <w:lvlJc w:val="left"/>
      <w:pPr>
        <w:tabs>
          <w:tab w:val="num" w:pos="720"/>
        </w:tabs>
        <w:ind w:left="720" w:hanging="720"/>
      </w:pPr>
      <w:rPr>
        <w:rFonts w:hint="default"/>
        <w:color w:val="auto"/>
        <w:u w:val="none"/>
      </w:rPr>
    </w:lvl>
    <w:lvl w:ilvl="1">
      <w:start w:val="1"/>
      <w:numFmt w:val="upperLetter"/>
      <w:lvlText w:val="%2."/>
      <w:lvlJc w:val="left"/>
      <w:pPr>
        <w:tabs>
          <w:tab w:val="num" w:pos="1440"/>
        </w:tabs>
        <w:ind w:left="1440" w:hanging="720"/>
      </w:pPr>
      <w:rPr>
        <w:rFonts w:hint="default"/>
        <w:color w:val="auto"/>
        <w:u w:val="none"/>
      </w:rPr>
    </w:lvl>
    <w:lvl w:ilvl="2">
      <w:start w:val="1"/>
      <w:numFmt w:val="decimal"/>
      <w:lvlText w:val="%3."/>
      <w:lvlJc w:val="left"/>
      <w:pPr>
        <w:tabs>
          <w:tab w:val="num" w:pos="2160"/>
        </w:tabs>
        <w:ind w:left="2160" w:hanging="720"/>
      </w:pPr>
      <w:rPr>
        <w:rFonts w:hint="default"/>
        <w:color w:val="auto"/>
        <w:u w:val="none"/>
      </w:rPr>
    </w:lvl>
    <w:lvl w:ilvl="3">
      <w:start w:val="1"/>
      <w:numFmt w:val="lowerLetter"/>
      <w:lvlText w:val="%4."/>
      <w:lvlJc w:val="left"/>
      <w:pPr>
        <w:tabs>
          <w:tab w:val="num" w:pos="2880"/>
        </w:tabs>
        <w:ind w:left="2880" w:hanging="720"/>
      </w:pPr>
      <w:rPr>
        <w:rFonts w:hint="default"/>
        <w:color w:val="auto"/>
        <w:u w:val="none"/>
      </w:rPr>
    </w:lvl>
    <w:lvl w:ilvl="4">
      <w:start w:val="1"/>
      <w:numFmt w:val="lowerRoman"/>
      <w:lvlText w:val="(%5)"/>
      <w:lvlJc w:val="left"/>
      <w:pPr>
        <w:tabs>
          <w:tab w:val="num" w:pos="3600"/>
        </w:tabs>
        <w:ind w:left="3600" w:hanging="715"/>
      </w:pPr>
      <w:rPr>
        <w:rFonts w:hint="default"/>
        <w:color w:val="auto"/>
        <w:u w:val="none"/>
      </w:rPr>
    </w:lvl>
    <w:lvl w:ilvl="5">
      <w:start w:val="1"/>
      <w:numFmt w:val="lowerLetter"/>
      <w:lvlText w:val="(%6)"/>
      <w:lvlJc w:val="left"/>
      <w:pPr>
        <w:tabs>
          <w:tab w:val="num" w:pos="4325"/>
        </w:tabs>
        <w:ind w:left="4325" w:hanging="720"/>
      </w:pPr>
      <w:rPr>
        <w:rFonts w:hint="default"/>
        <w:color w:val="auto"/>
        <w:u w:val="none"/>
      </w:rPr>
    </w:lvl>
    <w:lvl w:ilvl="6">
      <w:start w:val="1"/>
      <w:numFmt w:val="upperRoman"/>
      <w:lvlText w:val="(%7)"/>
      <w:lvlJc w:val="left"/>
      <w:pPr>
        <w:tabs>
          <w:tab w:val="num" w:pos="5040"/>
        </w:tabs>
        <w:ind w:left="5040" w:hanging="720"/>
      </w:pPr>
      <w:rPr>
        <w:rFonts w:hint="default"/>
        <w:color w:val="auto"/>
        <w:u w:val="none"/>
      </w:rPr>
    </w:lvl>
    <w:lvl w:ilvl="7">
      <w:start w:val="1"/>
      <w:numFmt w:val="upperLetter"/>
      <w:lvlText w:val="(%8)"/>
      <w:lvlJc w:val="left"/>
      <w:pPr>
        <w:tabs>
          <w:tab w:val="num" w:pos="5760"/>
        </w:tabs>
        <w:ind w:left="5760" w:hanging="720"/>
      </w:pPr>
      <w:rPr>
        <w:rFonts w:hint="default"/>
        <w:color w:val="auto"/>
        <w:u w:val="none"/>
      </w:rPr>
    </w:lvl>
    <w:lvl w:ilvl="8">
      <w:start w:val="1"/>
      <w:numFmt w:val="decimal"/>
      <w:lvlText w:val="(%9)"/>
      <w:lvlJc w:val="left"/>
      <w:pPr>
        <w:tabs>
          <w:tab w:val="num" w:pos="6480"/>
        </w:tabs>
        <w:ind w:left="6480" w:hanging="720"/>
      </w:pPr>
      <w:rPr>
        <w:rFonts w:hint="default"/>
        <w:color w:val="auto"/>
        <w:u w:val="none"/>
      </w:rPr>
    </w:lvl>
  </w:abstractNum>
  <w:num w:numId="1">
    <w:abstractNumId w:val="2"/>
  </w:num>
  <w:num w:numId="2">
    <w:abstractNumId w:val="2"/>
  </w:num>
  <w:num w:numId="3">
    <w:abstractNumId w:val="2"/>
  </w:num>
  <w:num w:numId="4">
    <w:abstractNumId w:val="2"/>
  </w:num>
  <w:num w:numId="5">
    <w:abstractNumId w:val="2"/>
  </w:num>
  <w:num w:numId="6">
    <w:abstractNumId w:val="2"/>
  </w:num>
  <w:num w:numId="7">
    <w:abstractNumId w:val="2"/>
  </w:num>
  <w:num w:numId="8">
    <w:abstractNumId w:val="2"/>
  </w:num>
  <w:num w:numId="9">
    <w:abstractNumId w:val="2"/>
  </w:num>
  <w:num w:numId="10">
    <w:abstractNumId w:val="0"/>
  </w:num>
  <w:num w:numId="11">
    <w:abstractNumId w:val="0"/>
  </w:num>
  <w:num w:numId="12">
    <w:abstractNumId w:val="2"/>
  </w:num>
  <w:num w:numId="13">
    <w:abstractNumId w:val="2"/>
  </w:num>
  <w:num w:numId="14">
    <w:abstractNumId w:val="2"/>
  </w:num>
  <w:num w:numId="15">
    <w:abstractNumId w:val="2"/>
  </w:num>
  <w:num w:numId="16">
    <w:abstractNumId w:val="2"/>
  </w:num>
  <w:num w:numId="17">
    <w:abstractNumId w:val="2"/>
  </w:num>
  <w:num w:numId="18">
    <w:abstractNumId w:val="2"/>
  </w:num>
  <w:num w:numId="19">
    <w:abstractNumId w:val="2"/>
  </w:num>
  <w:num w:numId="20">
    <w:abstractNumId w:val="2"/>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y Page Numbers to All Sections" w:val="True"/>
    <w:docVar w:name="ApplyPageNumbersAllSections" w:val="True"/>
    <w:docVar w:name="DefaultNumberOfLevelsInTOCForThisScheme" w:val="3"/>
    <w:docVar w:name="LastSchemeChoice" w:val="AP Default Numbering Scheme"/>
    <w:docVar w:name="LastSchemeUniqueID" w:val="131"/>
    <w:docVar w:name="Option0True" w:val="False"/>
    <w:docVar w:name="Option1True" w:val="False"/>
    <w:docVar w:name="Option2True" w:val="False"/>
    <w:docVar w:name="Option3True" w:val="False"/>
    <w:docVar w:name="Page Numbering Starts At" w:val="1"/>
    <w:docVar w:name="PageNumberingStartsAt" w:val="1"/>
    <w:docVar w:name="Show Page Number on Page 1" w:val="True"/>
    <w:docVar w:name="ShowPageNumberPage1" w:val="True"/>
  </w:docVars>
  <w:rsids>
    <w:rsidRoot w:val="006E72EC"/>
    <w:rsid w:val="0000114D"/>
    <w:rsid w:val="0000447F"/>
    <w:rsid w:val="00024979"/>
    <w:rsid w:val="000341A5"/>
    <w:rsid w:val="00036C67"/>
    <w:rsid w:val="000439EC"/>
    <w:rsid w:val="000601E6"/>
    <w:rsid w:val="00063062"/>
    <w:rsid w:val="00071811"/>
    <w:rsid w:val="000809E6"/>
    <w:rsid w:val="000828E8"/>
    <w:rsid w:val="0009093E"/>
    <w:rsid w:val="00092EDF"/>
    <w:rsid w:val="000B6585"/>
    <w:rsid w:val="000C5663"/>
    <w:rsid w:val="000D0625"/>
    <w:rsid w:val="000D123E"/>
    <w:rsid w:val="000D6530"/>
    <w:rsid w:val="000D7C17"/>
    <w:rsid w:val="000E2DBC"/>
    <w:rsid w:val="000E401E"/>
    <w:rsid w:val="000E66C4"/>
    <w:rsid w:val="0010423B"/>
    <w:rsid w:val="00131601"/>
    <w:rsid w:val="00131D4A"/>
    <w:rsid w:val="0013671B"/>
    <w:rsid w:val="00151792"/>
    <w:rsid w:val="001566E9"/>
    <w:rsid w:val="0016576A"/>
    <w:rsid w:val="001752CC"/>
    <w:rsid w:val="00177B13"/>
    <w:rsid w:val="001827DE"/>
    <w:rsid w:val="00197CA5"/>
    <w:rsid w:val="001A4153"/>
    <w:rsid w:val="001C28EC"/>
    <w:rsid w:val="001D0B0E"/>
    <w:rsid w:val="001D1F8C"/>
    <w:rsid w:val="001E01B8"/>
    <w:rsid w:val="001E7AAE"/>
    <w:rsid w:val="001F10C8"/>
    <w:rsid w:val="00211012"/>
    <w:rsid w:val="00212E9C"/>
    <w:rsid w:val="0022729F"/>
    <w:rsid w:val="00236D0C"/>
    <w:rsid w:val="00272DD5"/>
    <w:rsid w:val="00281B6A"/>
    <w:rsid w:val="00282A98"/>
    <w:rsid w:val="002A05D4"/>
    <w:rsid w:val="002A2F86"/>
    <w:rsid w:val="002A728F"/>
    <w:rsid w:val="002B1EEA"/>
    <w:rsid w:val="002B297B"/>
    <w:rsid w:val="002B3654"/>
    <w:rsid w:val="002C0267"/>
    <w:rsid w:val="002D5C2E"/>
    <w:rsid w:val="002D716F"/>
    <w:rsid w:val="002D7798"/>
    <w:rsid w:val="002F242B"/>
    <w:rsid w:val="002F286D"/>
    <w:rsid w:val="002F4FFE"/>
    <w:rsid w:val="00307341"/>
    <w:rsid w:val="00310F33"/>
    <w:rsid w:val="003110AC"/>
    <w:rsid w:val="0031598B"/>
    <w:rsid w:val="0032560C"/>
    <w:rsid w:val="00333F8C"/>
    <w:rsid w:val="0034092E"/>
    <w:rsid w:val="00347F5A"/>
    <w:rsid w:val="003518BB"/>
    <w:rsid w:val="00356DC9"/>
    <w:rsid w:val="0037038E"/>
    <w:rsid w:val="003731A5"/>
    <w:rsid w:val="003923B0"/>
    <w:rsid w:val="003A7D8E"/>
    <w:rsid w:val="003B2A06"/>
    <w:rsid w:val="003B433E"/>
    <w:rsid w:val="003C04E5"/>
    <w:rsid w:val="003C3BB6"/>
    <w:rsid w:val="003C6DD6"/>
    <w:rsid w:val="003D2CEF"/>
    <w:rsid w:val="003E14AB"/>
    <w:rsid w:val="003E6515"/>
    <w:rsid w:val="003F7203"/>
    <w:rsid w:val="00404FE6"/>
    <w:rsid w:val="00414C40"/>
    <w:rsid w:val="0044338F"/>
    <w:rsid w:val="00443A54"/>
    <w:rsid w:val="00446E6B"/>
    <w:rsid w:val="00482FA7"/>
    <w:rsid w:val="00490A1F"/>
    <w:rsid w:val="004930A1"/>
    <w:rsid w:val="004A3CE2"/>
    <w:rsid w:val="004A408F"/>
    <w:rsid w:val="004D192F"/>
    <w:rsid w:val="004D28A9"/>
    <w:rsid w:val="004D44BF"/>
    <w:rsid w:val="004E498B"/>
    <w:rsid w:val="004F7BC0"/>
    <w:rsid w:val="00502F4F"/>
    <w:rsid w:val="00504BA1"/>
    <w:rsid w:val="00525A2B"/>
    <w:rsid w:val="005372A2"/>
    <w:rsid w:val="00540923"/>
    <w:rsid w:val="00552A2E"/>
    <w:rsid w:val="00554CD6"/>
    <w:rsid w:val="005618F7"/>
    <w:rsid w:val="00577494"/>
    <w:rsid w:val="00582D91"/>
    <w:rsid w:val="005873B0"/>
    <w:rsid w:val="005B4FD2"/>
    <w:rsid w:val="005E6873"/>
    <w:rsid w:val="005F5506"/>
    <w:rsid w:val="00603F4E"/>
    <w:rsid w:val="00606D94"/>
    <w:rsid w:val="006240C2"/>
    <w:rsid w:val="00634782"/>
    <w:rsid w:val="00637750"/>
    <w:rsid w:val="006509D2"/>
    <w:rsid w:val="006608F0"/>
    <w:rsid w:val="00664182"/>
    <w:rsid w:val="0066427E"/>
    <w:rsid w:val="00664A1E"/>
    <w:rsid w:val="00664BE8"/>
    <w:rsid w:val="0066744F"/>
    <w:rsid w:val="00693024"/>
    <w:rsid w:val="00694788"/>
    <w:rsid w:val="006969E9"/>
    <w:rsid w:val="006B219E"/>
    <w:rsid w:val="006B4B98"/>
    <w:rsid w:val="006C713F"/>
    <w:rsid w:val="006E72EC"/>
    <w:rsid w:val="00710879"/>
    <w:rsid w:val="00711FA6"/>
    <w:rsid w:val="00730E9A"/>
    <w:rsid w:val="00747186"/>
    <w:rsid w:val="00754A39"/>
    <w:rsid w:val="00762A3D"/>
    <w:rsid w:val="00772527"/>
    <w:rsid w:val="00777B8A"/>
    <w:rsid w:val="0079355F"/>
    <w:rsid w:val="007C05FA"/>
    <w:rsid w:val="007C69CA"/>
    <w:rsid w:val="007D42CA"/>
    <w:rsid w:val="007D7796"/>
    <w:rsid w:val="007E75CE"/>
    <w:rsid w:val="008007F6"/>
    <w:rsid w:val="00811853"/>
    <w:rsid w:val="0082337A"/>
    <w:rsid w:val="008326F5"/>
    <w:rsid w:val="0084246F"/>
    <w:rsid w:val="00860A16"/>
    <w:rsid w:val="00863006"/>
    <w:rsid w:val="00863951"/>
    <w:rsid w:val="008676B8"/>
    <w:rsid w:val="0087082F"/>
    <w:rsid w:val="00874F54"/>
    <w:rsid w:val="0088697C"/>
    <w:rsid w:val="00890971"/>
    <w:rsid w:val="008A0E33"/>
    <w:rsid w:val="008C3B9C"/>
    <w:rsid w:val="008C4E7A"/>
    <w:rsid w:val="008D78FB"/>
    <w:rsid w:val="008E1FBC"/>
    <w:rsid w:val="008E51E1"/>
    <w:rsid w:val="008E7447"/>
    <w:rsid w:val="00904C1E"/>
    <w:rsid w:val="009062EE"/>
    <w:rsid w:val="00907F1F"/>
    <w:rsid w:val="009321BF"/>
    <w:rsid w:val="00936514"/>
    <w:rsid w:val="009377C6"/>
    <w:rsid w:val="009547AD"/>
    <w:rsid w:val="0095492F"/>
    <w:rsid w:val="00967E0D"/>
    <w:rsid w:val="00973BC8"/>
    <w:rsid w:val="00980979"/>
    <w:rsid w:val="009864B7"/>
    <w:rsid w:val="009877E0"/>
    <w:rsid w:val="009B09E5"/>
    <w:rsid w:val="009B0A75"/>
    <w:rsid w:val="009B1139"/>
    <w:rsid w:val="009B40A0"/>
    <w:rsid w:val="009B5815"/>
    <w:rsid w:val="009B7E77"/>
    <w:rsid w:val="009D55E8"/>
    <w:rsid w:val="009F27BA"/>
    <w:rsid w:val="00A04811"/>
    <w:rsid w:val="00A205FE"/>
    <w:rsid w:val="00A408BC"/>
    <w:rsid w:val="00A44882"/>
    <w:rsid w:val="00A90CB0"/>
    <w:rsid w:val="00AA027D"/>
    <w:rsid w:val="00AA08EA"/>
    <w:rsid w:val="00AA2499"/>
    <w:rsid w:val="00AB0B2B"/>
    <w:rsid w:val="00AB138A"/>
    <w:rsid w:val="00AC14B0"/>
    <w:rsid w:val="00AC18B0"/>
    <w:rsid w:val="00AC259D"/>
    <w:rsid w:val="00AD06FC"/>
    <w:rsid w:val="00AE36ED"/>
    <w:rsid w:val="00AF21EB"/>
    <w:rsid w:val="00AF4C03"/>
    <w:rsid w:val="00B048AD"/>
    <w:rsid w:val="00B0538F"/>
    <w:rsid w:val="00B078FD"/>
    <w:rsid w:val="00B16039"/>
    <w:rsid w:val="00B170B1"/>
    <w:rsid w:val="00B27BCC"/>
    <w:rsid w:val="00B45CD2"/>
    <w:rsid w:val="00B7719E"/>
    <w:rsid w:val="00B8750D"/>
    <w:rsid w:val="00B906B6"/>
    <w:rsid w:val="00BA2A0B"/>
    <w:rsid w:val="00BA4DC7"/>
    <w:rsid w:val="00BA5EE3"/>
    <w:rsid w:val="00BC301A"/>
    <w:rsid w:val="00BD0B19"/>
    <w:rsid w:val="00BD3E03"/>
    <w:rsid w:val="00BD4696"/>
    <w:rsid w:val="00BE19C7"/>
    <w:rsid w:val="00BF7A35"/>
    <w:rsid w:val="00C100C2"/>
    <w:rsid w:val="00C15235"/>
    <w:rsid w:val="00C22629"/>
    <w:rsid w:val="00C43032"/>
    <w:rsid w:val="00C4653A"/>
    <w:rsid w:val="00C47E62"/>
    <w:rsid w:val="00C6050C"/>
    <w:rsid w:val="00C765CF"/>
    <w:rsid w:val="00C873A8"/>
    <w:rsid w:val="00C95551"/>
    <w:rsid w:val="00CB2F39"/>
    <w:rsid w:val="00CC2025"/>
    <w:rsid w:val="00CD279F"/>
    <w:rsid w:val="00D13357"/>
    <w:rsid w:val="00D15C68"/>
    <w:rsid w:val="00D16E72"/>
    <w:rsid w:val="00D231B2"/>
    <w:rsid w:val="00D2467E"/>
    <w:rsid w:val="00D27AF2"/>
    <w:rsid w:val="00D3201E"/>
    <w:rsid w:val="00D32965"/>
    <w:rsid w:val="00D54398"/>
    <w:rsid w:val="00D54861"/>
    <w:rsid w:val="00D63BC7"/>
    <w:rsid w:val="00D75A83"/>
    <w:rsid w:val="00D81E74"/>
    <w:rsid w:val="00DA73BD"/>
    <w:rsid w:val="00DD0F1F"/>
    <w:rsid w:val="00DF3EBB"/>
    <w:rsid w:val="00E25B4A"/>
    <w:rsid w:val="00E27439"/>
    <w:rsid w:val="00E43601"/>
    <w:rsid w:val="00E443B8"/>
    <w:rsid w:val="00E502CD"/>
    <w:rsid w:val="00E52FAE"/>
    <w:rsid w:val="00E767DB"/>
    <w:rsid w:val="00E81078"/>
    <w:rsid w:val="00E97050"/>
    <w:rsid w:val="00EA2173"/>
    <w:rsid w:val="00EA4C16"/>
    <w:rsid w:val="00EA518D"/>
    <w:rsid w:val="00EC03F6"/>
    <w:rsid w:val="00EC0854"/>
    <w:rsid w:val="00EC1637"/>
    <w:rsid w:val="00EC582F"/>
    <w:rsid w:val="00ED11DA"/>
    <w:rsid w:val="00ED6B48"/>
    <w:rsid w:val="00ED7175"/>
    <w:rsid w:val="00EE18F3"/>
    <w:rsid w:val="00EE6A88"/>
    <w:rsid w:val="00EE793C"/>
    <w:rsid w:val="00EF1765"/>
    <w:rsid w:val="00EF40F6"/>
    <w:rsid w:val="00EF6DE3"/>
    <w:rsid w:val="00F0265C"/>
    <w:rsid w:val="00F06F9F"/>
    <w:rsid w:val="00F22DCE"/>
    <w:rsid w:val="00F2680B"/>
    <w:rsid w:val="00F43A0B"/>
    <w:rsid w:val="00F64238"/>
    <w:rsid w:val="00F64D0A"/>
    <w:rsid w:val="00F71FF7"/>
    <w:rsid w:val="00F8073C"/>
    <w:rsid w:val="00F84101"/>
    <w:rsid w:val="00F9443D"/>
    <w:rsid w:val="00F95A62"/>
    <w:rsid w:val="00FA2440"/>
    <w:rsid w:val="00FA784A"/>
    <w:rsid w:val="00FB0EF3"/>
    <w:rsid w:val="00FC50C1"/>
    <w:rsid w:val="00FD1B1A"/>
    <w:rsid w:val="00FF0155"/>
    <w:rsid w:val="00FF05EB"/>
    <w:rsid w:val="00FF1FEA"/>
    <w:rsid w:val="00FF43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endnote reference" w:uiPriority="0"/>
    <w:lsdException w:name="endnote text" w:uiPriority="0"/>
    <w:lsdException w:name="List Bullet" w:uiPriority="0"/>
    <w:lsdException w:name="Title" w:semiHidden="0" w:uiPriority="0" w:unhideWhenUsed="0" w:qFormat="1"/>
    <w:lsdException w:name="Closing" w:uiPriority="0"/>
    <w:lsdException w:name="Signature" w:uiPriority="0" w:qFormat="1"/>
    <w:lsdException w:name="Default Paragraph Font" w:uiPriority="1"/>
    <w:lsdException w:name="Body Text" w:uiPriority="0" w:qFormat="1"/>
    <w:lsdException w:name="Message Header" w:uiPriority="0"/>
    <w:lsdException w:name="Subtitle" w:uiPriority="0" w:qFormat="1"/>
    <w:lsdException w:name="Date" w:semiHidden="0" w:uiPriority="0" w:unhideWhenUsed="0"/>
    <w:lsdException w:name="Body Text 2" w:uiPriority="0" w:qFormat="1"/>
    <w:lsdException w:name="Block Text" w:uiPriority="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0" w:qFormat="1"/>
    <w:lsdException w:name="Quote" w:uiPriority="29" w:qFormat="1"/>
    <w:lsdException w:name="Intense Quote" w:uiPriority="3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Normal">
    <w:name w:val="Normal"/>
    <w:qFormat/>
    <w:rsid w:val="006E72EC"/>
    <w:pPr>
      <w:spacing w:after="0" w:line="240" w:lineRule="auto"/>
    </w:pPr>
    <w:rPr>
      <w:rFonts w:ascii="Times New Roman" w:hAnsi="Times New Roman"/>
      <w:sz w:val="24"/>
    </w:rPr>
  </w:style>
  <w:style w:type="paragraph" w:styleId="Heading1">
    <w:name w:val="heading 1"/>
    <w:basedOn w:val="HeadingBase"/>
    <w:next w:val="Normal"/>
    <w:link w:val="Heading1Char"/>
    <w:qFormat/>
    <w:rsid w:val="006E72EC"/>
    <w:pPr>
      <w:numPr>
        <w:numId w:val="21"/>
      </w:numPr>
      <w:tabs>
        <w:tab w:val="clear" w:pos="720"/>
      </w:tabs>
      <w:spacing w:after="240"/>
      <w:outlineLvl w:val="0"/>
    </w:pPr>
    <w:rPr>
      <w:rFonts w:cs="Arial"/>
      <w:bCs/>
    </w:rPr>
  </w:style>
  <w:style w:type="paragraph" w:styleId="Heading2">
    <w:name w:val="heading 2"/>
    <w:basedOn w:val="HeadingBase"/>
    <w:next w:val="Normal"/>
    <w:link w:val="Heading2Char"/>
    <w:qFormat/>
    <w:rsid w:val="006E72EC"/>
    <w:pPr>
      <w:numPr>
        <w:ilvl w:val="1"/>
        <w:numId w:val="21"/>
      </w:numPr>
      <w:tabs>
        <w:tab w:val="clear" w:pos="1440"/>
      </w:tabs>
      <w:spacing w:after="240"/>
      <w:outlineLvl w:val="1"/>
    </w:pPr>
    <w:rPr>
      <w:rFonts w:cs="Arial"/>
      <w:bCs/>
      <w:iCs/>
      <w:szCs w:val="28"/>
    </w:rPr>
  </w:style>
  <w:style w:type="paragraph" w:styleId="Heading3">
    <w:name w:val="heading 3"/>
    <w:basedOn w:val="HeadingBase"/>
    <w:next w:val="Normal"/>
    <w:link w:val="Heading3Char"/>
    <w:qFormat/>
    <w:rsid w:val="006E72EC"/>
    <w:pPr>
      <w:numPr>
        <w:ilvl w:val="2"/>
        <w:numId w:val="21"/>
      </w:numPr>
      <w:tabs>
        <w:tab w:val="clear" w:pos="2160"/>
      </w:tabs>
      <w:spacing w:after="240"/>
      <w:outlineLvl w:val="2"/>
    </w:pPr>
    <w:rPr>
      <w:rFonts w:cs="Arial"/>
      <w:bCs/>
    </w:rPr>
  </w:style>
  <w:style w:type="paragraph" w:styleId="Heading4">
    <w:name w:val="heading 4"/>
    <w:basedOn w:val="HeadingBase"/>
    <w:next w:val="Normal"/>
    <w:link w:val="Heading4Char"/>
    <w:qFormat/>
    <w:rsid w:val="006E72EC"/>
    <w:pPr>
      <w:numPr>
        <w:ilvl w:val="3"/>
        <w:numId w:val="21"/>
      </w:numPr>
      <w:tabs>
        <w:tab w:val="clear" w:pos="2880"/>
      </w:tabs>
      <w:spacing w:after="240"/>
      <w:outlineLvl w:val="3"/>
    </w:pPr>
    <w:rPr>
      <w:bCs/>
      <w:szCs w:val="28"/>
    </w:rPr>
  </w:style>
  <w:style w:type="paragraph" w:styleId="Heading5">
    <w:name w:val="heading 5"/>
    <w:basedOn w:val="HeadingBase"/>
    <w:next w:val="Normal"/>
    <w:link w:val="Heading5Char"/>
    <w:qFormat/>
    <w:rsid w:val="006E72EC"/>
    <w:pPr>
      <w:numPr>
        <w:ilvl w:val="4"/>
        <w:numId w:val="21"/>
      </w:numPr>
      <w:tabs>
        <w:tab w:val="clear" w:pos="3600"/>
      </w:tabs>
      <w:spacing w:after="240"/>
      <w:outlineLvl w:val="4"/>
    </w:pPr>
    <w:rPr>
      <w:bCs/>
      <w:iCs/>
      <w:szCs w:val="26"/>
    </w:rPr>
  </w:style>
  <w:style w:type="paragraph" w:styleId="Heading6">
    <w:name w:val="heading 6"/>
    <w:basedOn w:val="HeadingBase"/>
    <w:next w:val="Normal"/>
    <w:link w:val="Heading6Char"/>
    <w:qFormat/>
    <w:rsid w:val="006E72EC"/>
    <w:pPr>
      <w:numPr>
        <w:ilvl w:val="5"/>
        <w:numId w:val="21"/>
      </w:numPr>
      <w:spacing w:after="240"/>
      <w:outlineLvl w:val="5"/>
    </w:pPr>
    <w:rPr>
      <w:bCs/>
    </w:rPr>
  </w:style>
  <w:style w:type="paragraph" w:styleId="Heading7">
    <w:name w:val="heading 7"/>
    <w:basedOn w:val="HeadingBase"/>
    <w:next w:val="Normal"/>
    <w:link w:val="Heading7Char"/>
    <w:qFormat/>
    <w:rsid w:val="006E72EC"/>
    <w:pPr>
      <w:numPr>
        <w:ilvl w:val="6"/>
        <w:numId w:val="21"/>
      </w:numPr>
      <w:tabs>
        <w:tab w:val="clear" w:pos="5040"/>
      </w:tabs>
      <w:spacing w:after="240"/>
      <w:outlineLvl w:val="6"/>
    </w:pPr>
  </w:style>
  <w:style w:type="paragraph" w:styleId="Heading8">
    <w:name w:val="heading 8"/>
    <w:basedOn w:val="HeadingBase"/>
    <w:next w:val="Normal"/>
    <w:link w:val="Heading8Char"/>
    <w:qFormat/>
    <w:rsid w:val="006E72EC"/>
    <w:pPr>
      <w:numPr>
        <w:ilvl w:val="7"/>
        <w:numId w:val="21"/>
      </w:numPr>
      <w:tabs>
        <w:tab w:val="clear" w:pos="5760"/>
      </w:tabs>
      <w:spacing w:after="240"/>
      <w:outlineLvl w:val="7"/>
    </w:pPr>
    <w:rPr>
      <w:iCs/>
    </w:rPr>
  </w:style>
  <w:style w:type="paragraph" w:styleId="Heading9">
    <w:name w:val="heading 9"/>
    <w:basedOn w:val="HeadingBase"/>
    <w:next w:val="Normal"/>
    <w:link w:val="Heading9Char"/>
    <w:qFormat/>
    <w:rsid w:val="006E72EC"/>
    <w:pPr>
      <w:numPr>
        <w:ilvl w:val="8"/>
        <w:numId w:val="21"/>
      </w:numPr>
      <w:tabs>
        <w:tab w:val="clear" w:pos="6480"/>
      </w:tabs>
      <w:spacing w:after="240"/>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E72EC"/>
    <w:rPr>
      <w:rFonts w:ascii="Times New Roman" w:eastAsia="Times New Roman" w:hAnsi="Times New Roman" w:cs="Arial"/>
      <w:bCs/>
      <w:sz w:val="24"/>
      <w:szCs w:val="24"/>
    </w:rPr>
  </w:style>
  <w:style w:type="paragraph" w:styleId="Header">
    <w:name w:val="header"/>
    <w:basedOn w:val="Normal"/>
    <w:link w:val="HeaderChar"/>
    <w:uiPriority w:val="99"/>
    <w:semiHidden/>
    <w:unhideWhenUsed/>
    <w:rsid w:val="006E72EC"/>
    <w:pPr>
      <w:tabs>
        <w:tab w:val="center" w:pos="4680"/>
        <w:tab w:val="right" w:pos="9360"/>
      </w:tabs>
    </w:pPr>
  </w:style>
  <w:style w:type="character" w:customStyle="1" w:styleId="HeaderChar">
    <w:name w:val="Header Char"/>
    <w:basedOn w:val="DefaultParagraphFont"/>
    <w:link w:val="Header"/>
    <w:uiPriority w:val="99"/>
    <w:semiHidden/>
    <w:rsid w:val="006E72EC"/>
  </w:style>
  <w:style w:type="paragraph" w:styleId="Footer">
    <w:name w:val="footer"/>
    <w:basedOn w:val="Normal"/>
    <w:link w:val="FooterChar"/>
    <w:uiPriority w:val="99"/>
    <w:unhideWhenUsed/>
    <w:rsid w:val="006E72EC"/>
    <w:pPr>
      <w:tabs>
        <w:tab w:val="center" w:pos="4680"/>
        <w:tab w:val="right" w:pos="9360"/>
      </w:tabs>
    </w:pPr>
  </w:style>
  <w:style w:type="character" w:customStyle="1" w:styleId="FooterChar">
    <w:name w:val="Footer Char"/>
    <w:basedOn w:val="DefaultParagraphFont"/>
    <w:link w:val="Footer"/>
    <w:uiPriority w:val="99"/>
    <w:rsid w:val="006E72EC"/>
    <w:rPr>
      <w:rFonts w:ascii="Times New Roman" w:hAnsi="Times New Roman"/>
      <w:sz w:val="24"/>
    </w:rPr>
  </w:style>
  <w:style w:type="paragraph" w:styleId="BlockText">
    <w:name w:val="Block Text"/>
    <w:basedOn w:val="Normal"/>
    <w:qFormat/>
    <w:rsid w:val="006E72EC"/>
    <w:pPr>
      <w:spacing w:after="240"/>
      <w:ind w:left="1440" w:right="1440"/>
    </w:pPr>
    <w:rPr>
      <w:rFonts w:eastAsia="Times New Roman" w:cs="Times New Roman"/>
      <w:szCs w:val="24"/>
    </w:rPr>
  </w:style>
  <w:style w:type="paragraph" w:styleId="BodyText2">
    <w:name w:val="Body Text 2"/>
    <w:basedOn w:val="Normal"/>
    <w:link w:val="BodyText2Char"/>
    <w:qFormat/>
    <w:rsid w:val="006E72EC"/>
    <w:pPr>
      <w:spacing w:line="480" w:lineRule="auto"/>
    </w:pPr>
    <w:rPr>
      <w:rFonts w:eastAsia="Times New Roman" w:cs="Times New Roman"/>
      <w:szCs w:val="24"/>
    </w:rPr>
  </w:style>
  <w:style w:type="character" w:customStyle="1" w:styleId="BodyText2Char">
    <w:name w:val="Body Text 2 Char"/>
    <w:basedOn w:val="DefaultParagraphFont"/>
    <w:link w:val="BodyText2"/>
    <w:rsid w:val="006E72EC"/>
    <w:rPr>
      <w:rFonts w:ascii="Times New Roman" w:eastAsia="Times New Roman" w:hAnsi="Times New Roman" w:cs="Times New Roman"/>
      <w:sz w:val="24"/>
      <w:szCs w:val="24"/>
    </w:rPr>
  </w:style>
  <w:style w:type="paragraph" w:styleId="BodyText">
    <w:name w:val="Body Text"/>
    <w:basedOn w:val="Normal"/>
    <w:link w:val="BodyTextChar"/>
    <w:qFormat/>
    <w:rsid w:val="006E72EC"/>
    <w:pPr>
      <w:spacing w:after="240"/>
    </w:pPr>
    <w:rPr>
      <w:rFonts w:eastAsia="Times New Roman" w:cs="Times New Roman"/>
      <w:szCs w:val="24"/>
    </w:rPr>
  </w:style>
  <w:style w:type="character" w:customStyle="1" w:styleId="BodyTextChar">
    <w:name w:val="Body Text Char"/>
    <w:basedOn w:val="DefaultParagraphFont"/>
    <w:link w:val="BodyText"/>
    <w:rsid w:val="006E72EC"/>
    <w:rPr>
      <w:rFonts w:ascii="Times New Roman" w:eastAsia="Times New Roman" w:hAnsi="Times New Roman" w:cs="Times New Roman"/>
      <w:sz w:val="24"/>
      <w:szCs w:val="24"/>
    </w:rPr>
  </w:style>
  <w:style w:type="character" w:customStyle="1" w:styleId="DocID">
    <w:name w:val="DocID"/>
    <w:basedOn w:val="DefaultParagraphFont"/>
    <w:rsid w:val="006E72EC"/>
    <w:rPr>
      <w:sz w:val="16"/>
    </w:rPr>
  </w:style>
  <w:style w:type="character" w:styleId="Emphasis">
    <w:name w:val="Emphasis"/>
    <w:basedOn w:val="DefaultParagraphFont"/>
    <w:unhideWhenUsed/>
    <w:qFormat/>
    <w:rsid w:val="006E72EC"/>
    <w:rPr>
      <w:i/>
      <w:iCs/>
    </w:rPr>
  </w:style>
  <w:style w:type="character" w:customStyle="1" w:styleId="Heading2Char">
    <w:name w:val="Heading 2 Char"/>
    <w:basedOn w:val="DefaultParagraphFont"/>
    <w:link w:val="Heading2"/>
    <w:rsid w:val="006E72EC"/>
    <w:rPr>
      <w:rFonts w:ascii="Times New Roman" w:eastAsia="Times New Roman" w:hAnsi="Times New Roman" w:cs="Arial"/>
      <w:bCs/>
      <w:iCs/>
      <w:sz w:val="24"/>
      <w:szCs w:val="28"/>
    </w:rPr>
  </w:style>
  <w:style w:type="character" w:customStyle="1" w:styleId="Heading3Char">
    <w:name w:val="Heading 3 Char"/>
    <w:basedOn w:val="DefaultParagraphFont"/>
    <w:link w:val="Heading3"/>
    <w:rsid w:val="006E72EC"/>
    <w:rPr>
      <w:rFonts w:ascii="Times New Roman" w:eastAsia="Times New Roman" w:hAnsi="Times New Roman" w:cs="Arial"/>
      <w:bCs/>
      <w:sz w:val="24"/>
      <w:szCs w:val="24"/>
    </w:rPr>
  </w:style>
  <w:style w:type="character" w:customStyle="1" w:styleId="Heading4Char">
    <w:name w:val="Heading 4 Char"/>
    <w:basedOn w:val="DefaultParagraphFont"/>
    <w:link w:val="Heading4"/>
    <w:rsid w:val="006E72EC"/>
    <w:rPr>
      <w:rFonts w:ascii="Times New Roman" w:eastAsia="Times New Roman" w:hAnsi="Times New Roman" w:cs="Times New Roman"/>
      <w:bCs/>
      <w:sz w:val="24"/>
      <w:szCs w:val="28"/>
    </w:rPr>
  </w:style>
  <w:style w:type="character" w:customStyle="1" w:styleId="Heading5Char">
    <w:name w:val="Heading 5 Char"/>
    <w:basedOn w:val="DefaultParagraphFont"/>
    <w:link w:val="Heading5"/>
    <w:rsid w:val="006E72EC"/>
    <w:rPr>
      <w:rFonts w:ascii="Times New Roman" w:eastAsia="Times New Roman" w:hAnsi="Times New Roman" w:cs="Times New Roman"/>
      <w:bCs/>
      <w:iCs/>
      <w:sz w:val="24"/>
      <w:szCs w:val="26"/>
    </w:rPr>
  </w:style>
  <w:style w:type="character" w:customStyle="1" w:styleId="Heading6Char">
    <w:name w:val="Heading 6 Char"/>
    <w:basedOn w:val="DefaultParagraphFont"/>
    <w:link w:val="Heading6"/>
    <w:rsid w:val="006E72EC"/>
    <w:rPr>
      <w:rFonts w:ascii="Times New Roman" w:eastAsia="Times New Roman" w:hAnsi="Times New Roman" w:cs="Times New Roman"/>
      <w:bCs/>
      <w:sz w:val="24"/>
      <w:szCs w:val="24"/>
    </w:rPr>
  </w:style>
  <w:style w:type="character" w:customStyle="1" w:styleId="Heading7Char">
    <w:name w:val="Heading 7 Char"/>
    <w:basedOn w:val="DefaultParagraphFont"/>
    <w:link w:val="Heading7"/>
    <w:rsid w:val="006E72EC"/>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6E72EC"/>
    <w:rPr>
      <w:rFonts w:ascii="Times New Roman" w:eastAsia="Times New Roman" w:hAnsi="Times New Roman" w:cs="Times New Roman"/>
      <w:iCs/>
      <w:sz w:val="24"/>
      <w:szCs w:val="24"/>
    </w:rPr>
  </w:style>
  <w:style w:type="character" w:customStyle="1" w:styleId="Heading9Char">
    <w:name w:val="Heading 9 Char"/>
    <w:basedOn w:val="DefaultParagraphFont"/>
    <w:link w:val="Heading9"/>
    <w:rsid w:val="006E72EC"/>
    <w:rPr>
      <w:rFonts w:ascii="Times New Roman" w:eastAsia="Times New Roman" w:hAnsi="Times New Roman" w:cs="Arial"/>
      <w:sz w:val="24"/>
    </w:rPr>
  </w:style>
  <w:style w:type="paragraph" w:customStyle="1" w:styleId="HeadingBase">
    <w:name w:val="Heading Base"/>
    <w:basedOn w:val="Normal"/>
    <w:next w:val="Normal"/>
    <w:rsid w:val="006E72EC"/>
    <w:rPr>
      <w:rFonts w:eastAsia="Times New Roman" w:cs="Times New Roman"/>
      <w:szCs w:val="24"/>
    </w:rPr>
  </w:style>
  <w:style w:type="paragraph" w:styleId="ListBullet">
    <w:name w:val="List Bullet"/>
    <w:basedOn w:val="Normal"/>
    <w:rsid w:val="006E72EC"/>
    <w:pPr>
      <w:numPr>
        <w:numId w:val="11"/>
      </w:numPr>
    </w:pPr>
    <w:rPr>
      <w:rFonts w:eastAsia="Times New Roman" w:cs="Times New Roman"/>
      <w:szCs w:val="24"/>
    </w:rPr>
  </w:style>
  <w:style w:type="paragraph" w:customStyle="1" w:styleId="OutlineBodyText">
    <w:name w:val="Outline Body Text"/>
    <w:basedOn w:val="Normal"/>
    <w:qFormat/>
    <w:rsid w:val="006E72EC"/>
    <w:pPr>
      <w:spacing w:after="240"/>
      <w:ind w:firstLine="720"/>
    </w:pPr>
    <w:rPr>
      <w:rFonts w:eastAsia="Times New Roman" w:cs="Times New Roman"/>
      <w:szCs w:val="20"/>
    </w:rPr>
  </w:style>
  <w:style w:type="paragraph" w:styleId="Signature">
    <w:name w:val="Signature"/>
    <w:basedOn w:val="Normal"/>
    <w:link w:val="SignatureChar"/>
    <w:qFormat/>
    <w:rsid w:val="006E72EC"/>
    <w:pPr>
      <w:ind w:left="4320"/>
    </w:pPr>
    <w:rPr>
      <w:rFonts w:eastAsia="Times New Roman" w:cs="Times New Roman"/>
      <w:szCs w:val="24"/>
    </w:rPr>
  </w:style>
  <w:style w:type="character" w:customStyle="1" w:styleId="SignatureChar">
    <w:name w:val="Signature Char"/>
    <w:basedOn w:val="DefaultParagraphFont"/>
    <w:link w:val="Signature"/>
    <w:rsid w:val="006E72EC"/>
    <w:rPr>
      <w:rFonts w:ascii="Times New Roman" w:eastAsia="Times New Roman" w:hAnsi="Times New Roman" w:cs="Times New Roman"/>
      <w:sz w:val="24"/>
      <w:szCs w:val="24"/>
    </w:rPr>
  </w:style>
  <w:style w:type="character" w:styleId="Strong">
    <w:name w:val="Strong"/>
    <w:basedOn w:val="DefaultParagraphFont"/>
    <w:unhideWhenUsed/>
    <w:qFormat/>
    <w:rsid w:val="006E72EC"/>
    <w:rPr>
      <w:b/>
      <w:bCs/>
    </w:rPr>
  </w:style>
  <w:style w:type="paragraph" w:styleId="Title">
    <w:name w:val="Title"/>
    <w:basedOn w:val="Normal"/>
    <w:link w:val="TitleChar"/>
    <w:unhideWhenUsed/>
    <w:qFormat/>
    <w:rsid w:val="006E72EC"/>
    <w:pPr>
      <w:spacing w:before="240"/>
      <w:jc w:val="center"/>
      <w:outlineLvl w:val="0"/>
    </w:pPr>
    <w:rPr>
      <w:rFonts w:eastAsia="Times New Roman" w:cs="Arial"/>
      <w:b/>
      <w:bCs/>
      <w:kern w:val="28"/>
      <w:sz w:val="32"/>
      <w:szCs w:val="32"/>
    </w:rPr>
  </w:style>
  <w:style w:type="character" w:customStyle="1" w:styleId="TitleChar">
    <w:name w:val="Title Char"/>
    <w:basedOn w:val="DefaultParagraphFont"/>
    <w:link w:val="Title"/>
    <w:rsid w:val="006E72EC"/>
    <w:rPr>
      <w:rFonts w:ascii="Times New Roman" w:eastAsia="Times New Roman" w:hAnsi="Times New Roman" w:cs="Arial"/>
      <w:b/>
      <w:bCs/>
      <w:kern w:val="28"/>
      <w:sz w:val="32"/>
      <w:szCs w:val="32"/>
    </w:rPr>
  </w:style>
  <w:style w:type="paragraph" w:styleId="Caption">
    <w:name w:val="caption"/>
    <w:basedOn w:val="Normal"/>
    <w:next w:val="Normal"/>
    <w:qFormat/>
    <w:rsid w:val="006E72EC"/>
    <w:rPr>
      <w:rFonts w:eastAsia="Times New Roman" w:cs="Times New Roman"/>
      <w:b/>
      <w:bCs/>
      <w:sz w:val="20"/>
      <w:szCs w:val="20"/>
    </w:rPr>
  </w:style>
  <w:style w:type="paragraph" w:styleId="Closing">
    <w:name w:val="Closing"/>
    <w:basedOn w:val="Normal"/>
    <w:link w:val="ClosingChar"/>
    <w:rsid w:val="006E72EC"/>
    <w:pPr>
      <w:ind w:left="4320"/>
    </w:pPr>
    <w:rPr>
      <w:rFonts w:eastAsia="Times New Roman" w:cs="Times New Roman"/>
      <w:szCs w:val="24"/>
    </w:rPr>
  </w:style>
  <w:style w:type="character" w:customStyle="1" w:styleId="ClosingChar">
    <w:name w:val="Closing Char"/>
    <w:basedOn w:val="DefaultParagraphFont"/>
    <w:link w:val="Closing"/>
    <w:rsid w:val="006E72EC"/>
    <w:rPr>
      <w:rFonts w:ascii="Times New Roman" w:eastAsia="Times New Roman" w:hAnsi="Times New Roman" w:cs="Times New Roman"/>
      <w:sz w:val="24"/>
      <w:szCs w:val="24"/>
    </w:rPr>
  </w:style>
  <w:style w:type="paragraph" w:styleId="FootnoteText">
    <w:name w:val="footnote text"/>
    <w:basedOn w:val="Normal"/>
    <w:link w:val="FootnoteTextChar"/>
    <w:rsid w:val="006E72EC"/>
    <w:pPr>
      <w:tabs>
        <w:tab w:val="left" w:pos="446"/>
      </w:tabs>
      <w:spacing w:after="120" w:line="240" w:lineRule="exact"/>
    </w:pPr>
    <w:rPr>
      <w:rFonts w:eastAsia="Times New Roman" w:cs="Times New Roman"/>
      <w:szCs w:val="20"/>
    </w:rPr>
  </w:style>
  <w:style w:type="character" w:customStyle="1" w:styleId="FootnoteTextChar">
    <w:name w:val="Footnote Text Char"/>
    <w:basedOn w:val="DefaultParagraphFont"/>
    <w:link w:val="FootnoteText"/>
    <w:rsid w:val="006E72EC"/>
    <w:rPr>
      <w:rFonts w:ascii="Times New Roman" w:eastAsia="Times New Roman" w:hAnsi="Times New Roman" w:cs="Times New Roman"/>
      <w:sz w:val="24"/>
      <w:szCs w:val="20"/>
    </w:rPr>
  </w:style>
  <w:style w:type="paragraph" w:styleId="MessageHeader">
    <w:name w:val="Message Header"/>
    <w:basedOn w:val="Normal"/>
    <w:link w:val="MessageHeaderChar"/>
    <w:rsid w:val="006E72EC"/>
    <w:pPr>
      <w:pBdr>
        <w:top w:val="single" w:sz="6" w:space="1" w:color="auto"/>
        <w:left w:val="single" w:sz="6" w:space="1" w:color="auto"/>
        <w:bottom w:val="single" w:sz="6" w:space="1" w:color="auto"/>
        <w:right w:val="single" w:sz="6" w:space="1" w:color="auto"/>
      </w:pBdr>
      <w:shd w:val="pct20" w:color="auto" w:fill="auto"/>
      <w:ind w:left="1080" w:hanging="1080"/>
    </w:pPr>
    <w:rPr>
      <w:rFonts w:ascii="Arial" w:eastAsia="Times New Roman" w:hAnsi="Arial" w:cs="Arial"/>
      <w:szCs w:val="24"/>
    </w:rPr>
  </w:style>
  <w:style w:type="character" w:customStyle="1" w:styleId="MessageHeaderChar">
    <w:name w:val="Message Header Char"/>
    <w:basedOn w:val="DefaultParagraphFont"/>
    <w:link w:val="MessageHeader"/>
    <w:rsid w:val="006E72EC"/>
    <w:rPr>
      <w:rFonts w:ascii="Arial" w:eastAsia="Times New Roman" w:hAnsi="Arial" w:cs="Arial"/>
      <w:sz w:val="24"/>
      <w:szCs w:val="24"/>
      <w:shd w:val="pct20" w:color="auto" w:fill="auto"/>
    </w:rPr>
  </w:style>
  <w:style w:type="paragraph" w:styleId="Subtitle">
    <w:name w:val="Subtitle"/>
    <w:basedOn w:val="Normal"/>
    <w:link w:val="SubtitleChar"/>
    <w:qFormat/>
    <w:rsid w:val="006E72EC"/>
    <w:pPr>
      <w:spacing w:after="60"/>
      <w:jc w:val="center"/>
      <w:outlineLvl w:val="1"/>
    </w:pPr>
    <w:rPr>
      <w:rFonts w:ascii="Arial" w:eastAsia="Times New Roman" w:hAnsi="Arial" w:cs="Arial"/>
      <w:szCs w:val="24"/>
    </w:rPr>
  </w:style>
  <w:style w:type="character" w:customStyle="1" w:styleId="SubtitleChar">
    <w:name w:val="Subtitle Char"/>
    <w:basedOn w:val="DefaultParagraphFont"/>
    <w:link w:val="Subtitle"/>
    <w:rsid w:val="006E72EC"/>
    <w:rPr>
      <w:rFonts w:ascii="Arial" w:eastAsia="Times New Roman" w:hAnsi="Arial" w:cs="Arial"/>
      <w:sz w:val="24"/>
      <w:szCs w:val="24"/>
    </w:rPr>
  </w:style>
  <w:style w:type="paragraph" w:customStyle="1" w:styleId="OutlineBodyText2">
    <w:name w:val="Outline Body Text 2"/>
    <w:basedOn w:val="Normal"/>
    <w:qFormat/>
    <w:rsid w:val="006E72EC"/>
    <w:pPr>
      <w:spacing w:line="480" w:lineRule="auto"/>
      <w:ind w:firstLine="720"/>
    </w:pPr>
  </w:style>
  <w:style w:type="paragraph" w:customStyle="1" w:styleId="HeadingBody1">
    <w:name w:val="HeadingBody 1"/>
    <w:basedOn w:val="Normal"/>
    <w:next w:val="Normal"/>
    <w:link w:val="HeadingBody1Char"/>
    <w:rsid w:val="006E72EC"/>
    <w:pPr>
      <w:spacing w:after="240"/>
      <w:ind w:firstLine="720"/>
    </w:pPr>
    <w:rPr>
      <w:rFonts w:cs="Times New Roman"/>
      <w:szCs w:val="20"/>
    </w:rPr>
  </w:style>
  <w:style w:type="character" w:customStyle="1" w:styleId="HeadingBody1Char">
    <w:name w:val="HeadingBody 1 Char"/>
    <w:basedOn w:val="Heading2Char"/>
    <w:link w:val="HeadingBody1"/>
    <w:rsid w:val="006E72EC"/>
    <w:rPr>
      <w:rFonts w:ascii="Times New Roman" w:eastAsia="Times New Roman" w:hAnsi="Times New Roman" w:cs="Times New Roman"/>
      <w:bCs/>
      <w:iCs/>
      <w:sz w:val="24"/>
      <w:szCs w:val="20"/>
    </w:rPr>
  </w:style>
  <w:style w:type="paragraph" w:customStyle="1" w:styleId="HeadingBody2">
    <w:name w:val="HeadingBody 2"/>
    <w:basedOn w:val="Normal"/>
    <w:next w:val="Normal"/>
    <w:link w:val="HeadingBody2Char"/>
    <w:rsid w:val="006E72EC"/>
    <w:pPr>
      <w:spacing w:after="240"/>
      <w:ind w:firstLine="1440"/>
    </w:pPr>
    <w:rPr>
      <w:rFonts w:cs="Times New Roman"/>
      <w:szCs w:val="24"/>
    </w:rPr>
  </w:style>
  <w:style w:type="character" w:customStyle="1" w:styleId="HeadingBody2Char">
    <w:name w:val="HeadingBody 2 Char"/>
    <w:basedOn w:val="Heading2Char"/>
    <w:link w:val="HeadingBody2"/>
    <w:rsid w:val="006E72EC"/>
    <w:rPr>
      <w:rFonts w:ascii="Times New Roman" w:eastAsia="Times New Roman" w:hAnsi="Times New Roman" w:cs="Times New Roman"/>
      <w:bCs/>
      <w:iCs/>
      <w:sz w:val="24"/>
      <w:szCs w:val="24"/>
    </w:rPr>
  </w:style>
  <w:style w:type="paragraph" w:customStyle="1" w:styleId="HeadingBody3">
    <w:name w:val="HeadingBody 3"/>
    <w:basedOn w:val="Normal"/>
    <w:next w:val="Normal"/>
    <w:link w:val="HeadingBody3Char"/>
    <w:rsid w:val="006E72EC"/>
    <w:pPr>
      <w:spacing w:after="240"/>
      <w:ind w:firstLine="2160"/>
    </w:pPr>
    <w:rPr>
      <w:rFonts w:cs="Times New Roman"/>
      <w:szCs w:val="24"/>
    </w:rPr>
  </w:style>
  <w:style w:type="character" w:customStyle="1" w:styleId="HeadingBody3Char">
    <w:name w:val="HeadingBody 3 Char"/>
    <w:basedOn w:val="Heading2Char"/>
    <w:link w:val="HeadingBody3"/>
    <w:rsid w:val="006E72EC"/>
    <w:rPr>
      <w:rFonts w:ascii="Times New Roman" w:eastAsia="Times New Roman" w:hAnsi="Times New Roman" w:cs="Times New Roman"/>
      <w:bCs/>
      <w:iCs/>
      <w:sz w:val="24"/>
      <w:szCs w:val="24"/>
    </w:rPr>
  </w:style>
  <w:style w:type="paragraph" w:customStyle="1" w:styleId="HeadingBody4">
    <w:name w:val="HeadingBody 4"/>
    <w:basedOn w:val="Normal"/>
    <w:next w:val="Normal"/>
    <w:link w:val="HeadingBody4Char"/>
    <w:rsid w:val="006E72EC"/>
    <w:pPr>
      <w:spacing w:after="240"/>
      <w:ind w:firstLine="2880"/>
    </w:pPr>
    <w:rPr>
      <w:rFonts w:cs="Times New Roman"/>
      <w:szCs w:val="24"/>
    </w:rPr>
  </w:style>
  <w:style w:type="character" w:customStyle="1" w:styleId="HeadingBody4Char">
    <w:name w:val="HeadingBody 4 Char"/>
    <w:basedOn w:val="Heading2Char"/>
    <w:link w:val="HeadingBody4"/>
    <w:rsid w:val="006E72EC"/>
    <w:rPr>
      <w:rFonts w:ascii="Times New Roman" w:eastAsia="Times New Roman" w:hAnsi="Times New Roman" w:cs="Times New Roman"/>
      <w:bCs/>
      <w:iCs/>
      <w:sz w:val="24"/>
      <w:szCs w:val="24"/>
    </w:rPr>
  </w:style>
  <w:style w:type="paragraph" w:customStyle="1" w:styleId="HeadingBody5">
    <w:name w:val="HeadingBody 5"/>
    <w:basedOn w:val="Normal"/>
    <w:next w:val="Normal"/>
    <w:link w:val="HeadingBody5Char"/>
    <w:rsid w:val="006E72EC"/>
    <w:pPr>
      <w:spacing w:after="240"/>
      <w:ind w:firstLine="3600"/>
    </w:pPr>
    <w:rPr>
      <w:rFonts w:cs="Times New Roman"/>
      <w:szCs w:val="24"/>
    </w:rPr>
  </w:style>
  <w:style w:type="character" w:customStyle="1" w:styleId="HeadingBody5Char">
    <w:name w:val="HeadingBody 5 Char"/>
    <w:basedOn w:val="Heading2Char"/>
    <w:link w:val="HeadingBody5"/>
    <w:rsid w:val="006E72EC"/>
    <w:rPr>
      <w:rFonts w:ascii="Times New Roman" w:eastAsia="Times New Roman" w:hAnsi="Times New Roman" w:cs="Times New Roman"/>
      <w:bCs/>
      <w:iCs/>
      <w:sz w:val="24"/>
      <w:szCs w:val="24"/>
    </w:rPr>
  </w:style>
  <w:style w:type="paragraph" w:customStyle="1" w:styleId="HeadingBody6">
    <w:name w:val="HeadingBody 6"/>
    <w:basedOn w:val="Normal"/>
    <w:next w:val="Normal"/>
    <w:link w:val="HeadingBody6Char"/>
    <w:rsid w:val="006E72EC"/>
    <w:pPr>
      <w:spacing w:after="240"/>
      <w:ind w:firstLine="4320"/>
    </w:pPr>
    <w:rPr>
      <w:rFonts w:cs="Times New Roman"/>
      <w:szCs w:val="24"/>
    </w:rPr>
  </w:style>
  <w:style w:type="character" w:customStyle="1" w:styleId="HeadingBody6Char">
    <w:name w:val="HeadingBody 6 Char"/>
    <w:basedOn w:val="Heading2Char"/>
    <w:link w:val="HeadingBody6"/>
    <w:rsid w:val="006E72EC"/>
    <w:rPr>
      <w:rFonts w:ascii="Times New Roman" w:eastAsia="Times New Roman" w:hAnsi="Times New Roman" w:cs="Times New Roman"/>
      <w:bCs/>
      <w:iCs/>
      <w:sz w:val="24"/>
      <w:szCs w:val="24"/>
    </w:rPr>
  </w:style>
  <w:style w:type="paragraph" w:customStyle="1" w:styleId="HeadingBody7">
    <w:name w:val="HeadingBody 7"/>
    <w:basedOn w:val="Normal"/>
    <w:next w:val="Normal"/>
    <w:link w:val="HeadingBody7Char"/>
    <w:rsid w:val="006E72EC"/>
    <w:pPr>
      <w:spacing w:after="240"/>
      <w:ind w:firstLine="5040"/>
    </w:pPr>
    <w:rPr>
      <w:rFonts w:cs="Times New Roman"/>
      <w:szCs w:val="24"/>
    </w:rPr>
  </w:style>
  <w:style w:type="character" w:customStyle="1" w:styleId="HeadingBody7Char">
    <w:name w:val="HeadingBody 7 Char"/>
    <w:basedOn w:val="Heading2Char"/>
    <w:link w:val="HeadingBody7"/>
    <w:rsid w:val="006E72EC"/>
    <w:rPr>
      <w:rFonts w:ascii="Times New Roman" w:eastAsia="Times New Roman" w:hAnsi="Times New Roman" w:cs="Times New Roman"/>
      <w:bCs/>
      <w:iCs/>
      <w:sz w:val="24"/>
      <w:szCs w:val="24"/>
    </w:rPr>
  </w:style>
  <w:style w:type="paragraph" w:customStyle="1" w:styleId="HeadingBody8">
    <w:name w:val="HeadingBody 8"/>
    <w:basedOn w:val="Normal"/>
    <w:next w:val="Normal"/>
    <w:link w:val="HeadingBody8Char"/>
    <w:rsid w:val="006E72EC"/>
    <w:pPr>
      <w:spacing w:after="240"/>
      <w:ind w:firstLine="5760"/>
    </w:pPr>
    <w:rPr>
      <w:rFonts w:cs="Times New Roman"/>
      <w:szCs w:val="24"/>
    </w:rPr>
  </w:style>
  <w:style w:type="character" w:customStyle="1" w:styleId="HeadingBody8Char">
    <w:name w:val="HeadingBody 8 Char"/>
    <w:basedOn w:val="Heading2Char"/>
    <w:link w:val="HeadingBody8"/>
    <w:rsid w:val="006E72EC"/>
    <w:rPr>
      <w:rFonts w:ascii="Times New Roman" w:eastAsia="Times New Roman" w:hAnsi="Times New Roman" w:cs="Times New Roman"/>
      <w:bCs/>
      <w:iCs/>
      <w:sz w:val="24"/>
      <w:szCs w:val="24"/>
    </w:rPr>
  </w:style>
  <w:style w:type="paragraph" w:customStyle="1" w:styleId="HeadingBody9">
    <w:name w:val="HeadingBody 9"/>
    <w:basedOn w:val="Normal"/>
    <w:next w:val="Normal"/>
    <w:link w:val="HeadingBody9Char"/>
    <w:rsid w:val="006E72EC"/>
    <w:pPr>
      <w:spacing w:after="240"/>
      <w:ind w:firstLine="6480"/>
    </w:pPr>
    <w:rPr>
      <w:rFonts w:cs="Times New Roman"/>
      <w:szCs w:val="24"/>
    </w:rPr>
  </w:style>
  <w:style w:type="character" w:customStyle="1" w:styleId="HeadingBody9Char">
    <w:name w:val="HeadingBody 9 Char"/>
    <w:basedOn w:val="Heading2Char"/>
    <w:link w:val="HeadingBody9"/>
    <w:rsid w:val="006E72EC"/>
    <w:rPr>
      <w:rFonts w:ascii="Times New Roman" w:eastAsia="Times New Roman" w:hAnsi="Times New Roman" w:cs="Times New Roman"/>
      <w:bCs/>
      <w:iCs/>
      <w:sz w:val="24"/>
      <w:szCs w:val="24"/>
    </w:rPr>
  </w:style>
  <w:style w:type="paragraph" w:styleId="TOCHeading">
    <w:name w:val="TOC Heading"/>
    <w:basedOn w:val="Heading1"/>
    <w:next w:val="Normal"/>
    <w:uiPriority w:val="39"/>
    <w:unhideWhenUsed/>
    <w:qFormat/>
    <w:rsid w:val="006E72EC"/>
    <w:pPr>
      <w:keepNext/>
      <w:keepLines/>
      <w:numPr>
        <w:numId w:val="0"/>
      </w:numPr>
      <w:jc w:val="center"/>
      <w:outlineLvl w:val="9"/>
    </w:pPr>
    <w:rPr>
      <w:rFonts w:eastAsiaTheme="majorEastAsia" w:cstheme="majorBidi"/>
      <w:b/>
      <w:caps/>
      <w:szCs w:val="28"/>
      <w:u w:val="single"/>
    </w:rPr>
  </w:style>
  <w:style w:type="paragraph" w:customStyle="1" w:styleId="TOCPage">
    <w:name w:val="TOC Page"/>
    <w:basedOn w:val="Normal"/>
    <w:next w:val="Normal"/>
    <w:link w:val="TOCPageChar"/>
    <w:rsid w:val="006E72EC"/>
    <w:pPr>
      <w:spacing w:after="240"/>
      <w:jc w:val="right"/>
    </w:pPr>
    <w:rPr>
      <w:rFonts w:cs="Times New Roman"/>
      <w:b/>
      <w:u w:val="single"/>
    </w:rPr>
  </w:style>
  <w:style w:type="character" w:customStyle="1" w:styleId="TOCPageChar">
    <w:name w:val="TOC Page Char"/>
    <w:basedOn w:val="DefaultParagraphFont"/>
    <w:link w:val="TOCPage"/>
    <w:rsid w:val="006E72EC"/>
    <w:rPr>
      <w:rFonts w:ascii="Times New Roman" w:hAnsi="Times New Roman" w:cs="Times New Roman"/>
      <w:b/>
      <w:sz w:val="24"/>
      <w:u w:val="single"/>
    </w:rPr>
  </w:style>
  <w:style w:type="paragraph" w:styleId="BodyText3">
    <w:name w:val="Body Text 3"/>
    <w:basedOn w:val="Normal"/>
    <w:next w:val="Normal"/>
    <w:link w:val="BodyText3Char"/>
    <w:uiPriority w:val="99"/>
    <w:semiHidden/>
    <w:unhideWhenUsed/>
    <w:rsid w:val="006E72EC"/>
    <w:pPr>
      <w:spacing w:after="240"/>
      <w:ind w:left="2160" w:hanging="720"/>
    </w:pPr>
    <w:rPr>
      <w:szCs w:val="16"/>
    </w:rPr>
  </w:style>
  <w:style w:type="character" w:customStyle="1" w:styleId="BodyText3Char">
    <w:name w:val="Body Text 3 Char"/>
    <w:basedOn w:val="DefaultParagraphFont"/>
    <w:link w:val="BodyText3"/>
    <w:uiPriority w:val="99"/>
    <w:semiHidden/>
    <w:rsid w:val="006E72EC"/>
    <w:rPr>
      <w:rFonts w:ascii="Times New Roman" w:hAnsi="Times New Roman"/>
      <w:sz w:val="24"/>
      <w:szCs w:val="16"/>
    </w:rPr>
  </w:style>
  <w:style w:type="character" w:styleId="FootnoteReference">
    <w:name w:val="footnote reference"/>
    <w:basedOn w:val="DefaultParagraphFont"/>
    <w:uiPriority w:val="99"/>
    <w:semiHidden/>
    <w:unhideWhenUsed/>
    <w:rsid w:val="006E72EC"/>
    <w:rPr>
      <w:vertAlign w:val="superscript"/>
    </w:rPr>
  </w:style>
  <w:style w:type="character" w:styleId="PageNumber">
    <w:name w:val="page number"/>
    <w:basedOn w:val="DefaultParagraphFont"/>
    <w:uiPriority w:val="99"/>
    <w:unhideWhenUsed/>
    <w:rsid w:val="006E72EC"/>
    <w:rPr>
      <w:rFonts w:ascii="Times New Roman" w:hAnsi="Times New Roman" w:cs="Times New Roman"/>
      <w:b w:val="0"/>
      <w:sz w:val="24"/>
    </w:rPr>
  </w:style>
  <w:style w:type="paragraph" w:styleId="EndnoteText">
    <w:name w:val="endnote text"/>
    <w:basedOn w:val="Normal"/>
    <w:link w:val="EndnoteTextChar"/>
    <w:rsid w:val="006E72EC"/>
    <w:rPr>
      <w:rFonts w:eastAsia="Times New Roman" w:cs="Times New Roman"/>
      <w:sz w:val="20"/>
      <w:szCs w:val="20"/>
    </w:rPr>
  </w:style>
  <w:style w:type="character" w:customStyle="1" w:styleId="EndnoteTextChar">
    <w:name w:val="Endnote Text Char"/>
    <w:basedOn w:val="DefaultParagraphFont"/>
    <w:link w:val="EndnoteText"/>
    <w:rsid w:val="006E72EC"/>
    <w:rPr>
      <w:rFonts w:ascii="Times New Roman" w:eastAsia="Times New Roman" w:hAnsi="Times New Roman" w:cs="Times New Roman"/>
      <w:sz w:val="20"/>
      <w:szCs w:val="20"/>
    </w:rPr>
  </w:style>
  <w:style w:type="character" w:styleId="EndnoteReference">
    <w:name w:val="endnote reference"/>
    <w:basedOn w:val="DefaultParagraphFont"/>
    <w:rsid w:val="006E72EC"/>
    <w:rPr>
      <w:vertAlign w:val="superscript"/>
    </w:rPr>
  </w:style>
  <w:style w:type="paragraph" w:styleId="ListParagraph">
    <w:name w:val="List Paragraph"/>
    <w:basedOn w:val="Normal"/>
    <w:qFormat/>
    <w:rsid w:val="006E72EC"/>
    <w:pPr>
      <w:ind w:left="720"/>
      <w:contextualSpacing/>
    </w:pPr>
    <w:rPr>
      <w:rFonts w:ascii="Calibri" w:eastAsia="Calibri" w:hAnsi="Calibri" w:cs="Times New Roman"/>
      <w:sz w:val="22"/>
    </w:rPr>
  </w:style>
  <w:style w:type="paragraph" w:styleId="BalloonText">
    <w:name w:val="Balloon Text"/>
    <w:basedOn w:val="Normal"/>
    <w:link w:val="BalloonTextChar"/>
    <w:uiPriority w:val="99"/>
    <w:semiHidden/>
    <w:unhideWhenUsed/>
    <w:rsid w:val="006E72EC"/>
    <w:rPr>
      <w:rFonts w:ascii="Tahoma" w:hAnsi="Tahoma" w:cs="Tahoma"/>
      <w:sz w:val="16"/>
      <w:szCs w:val="16"/>
    </w:rPr>
  </w:style>
  <w:style w:type="character" w:customStyle="1" w:styleId="BalloonTextChar">
    <w:name w:val="Balloon Text Char"/>
    <w:basedOn w:val="DefaultParagraphFont"/>
    <w:link w:val="BalloonText"/>
    <w:uiPriority w:val="99"/>
    <w:semiHidden/>
    <w:rsid w:val="006E72EC"/>
    <w:rPr>
      <w:rFonts w:ascii="Tahoma" w:hAnsi="Tahoma" w:cs="Tahoma"/>
      <w:sz w:val="16"/>
      <w:szCs w:val="16"/>
    </w:rPr>
  </w:style>
  <w:style w:type="character" w:styleId="Hyperlink">
    <w:name w:val="Hyperlink"/>
    <w:basedOn w:val="DefaultParagraphFont"/>
    <w:uiPriority w:val="99"/>
    <w:unhideWhenUsed/>
    <w:rsid w:val="006E72EC"/>
    <w:rPr>
      <w:color w:val="0000FF" w:themeColor="hyperlink"/>
      <w:u w:val="single"/>
    </w:rPr>
  </w:style>
  <w:style w:type="character" w:styleId="CommentReference">
    <w:name w:val="annotation reference"/>
    <w:basedOn w:val="DefaultParagraphFont"/>
    <w:uiPriority w:val="99"/>
    <w:semiHidden/>
    <w:unhideWhenUsed/>
    <w:rsid w:val="00D231B2"/>
    <w:rPr>
      <w:sz w:val="16"/>
      <w:szCs w:val="16"/>
    </w:rPr>
  </w:style>
  <w:style w:type="paragraph" w:styleId="CommentText">
    <w:name w:val="annotation text"/>
    <w:basedOn w:val="Normal"/>
    <w:link w:val="CommentTextChar"/>
    <w:uiPriority w:val="99"/>
    <w:semiHidden/>
    <w:unhideWhenUsed/>
    <w:rsid w:val="00D231B2"/>
    <w:rPr>
      <w:sz w:val="20"/>
      <w:szCs w:val="20"/>
    </w:rPr>
  </w:style>
  <w:style w:type="character" w:customStyle="1" w:styleId="CommentTextChar">
    <w:name w:val="Comment Text Char"/>
    <w:basedOn w:val="DefaultParagraphFont"/>
    <w:link w:val="CommentText"/>
    <w:uiPriority w:val="99"/>
    <w:semiHidden/>
    <w:rsid w:val="00D231B2"/>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D231B2"/>
    <w:rPr>
      <w:b/>
      <w:bCs/>
    </w:rPr>
  </w:style>
  <w:style w:type="character" w:customStyle="1" w:styleId="CommentSubjectChar">
    <w:name w:val="Comment Subject Char"/>
    <w:basedOn w:val="CommentTextChar"/>
    <w:link w:val="CommentSubject"/>
    <w:uiPriority w:val="99"/>
    <w:semiHidden/>
    <w:rsid w:val="00D231B2"/>
    <w:rPr>
      <w:rFonts w:ascii="Times New Roman" w:hAnsi="Times New Roman"/>
      <w:b/>
      <w:bCs/>
      <w:sz w:val="20"/>
      <w:szCs w:val="20"/>
    </w:rPr>
  </w:style>
  <w:style w:type="character" w:styleId="FollowedHyperlink">
    <w:name w:val="FollowedHyperlink"/>
    <w:basedOn w:val="DefaultParagraphFont"/>
    <w:uiPriority w:val="99"/>
    <w:semiHidden/>
    <w:unhideWhenUsed/>
    <w:rsid w:val="000D7C17"/>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endnote reference" w:uiPriority="0"/>
    <w:lsdException w:name="endnote text" w:uiPriority="0"/>
    <w:lsdException w:name="List Bullet" w:uiPriority="0"/>
    <w:lsdException w:name="Title" w:semiHidden="0" w:uiPriority="0" w:unhideWhenUsed="0" w:qFormat="1"/>
    <w:lsdException w:name="Closing" w:uiPriority="0"/>
    <w:lsdException w:name="Signature" w:uiPriority="0" w:qFormat="1"/>
    <w:lsdException w:name="Default Paragraph Font" w:uiPriority="1"/>
    <w:lsdException w:name="Body Text" w:uiPriority="0" w:qFormat="1"/>
    <w:lsdException w:name="Message Header" w:uiPriority="0"/>
    <w:lsdException w:name="Subtitle" w:uiPriority="0" w:qFormat="1"/>
    <w:lsdException w:name="Date" w:semiHidden="0" w:uiPriority="0" w:unhideWhenUsed="0"/>
    <w:lsdException w:name="Body Text 2" w:uiPriority="0" w:qFormat="1"/>
    <w:lsdException w:name="Block Text" w:uiPriority="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0" w:qFormat="1"/>
    <w:lsdException w:name="Quote" w:uiPriority="29" w:qFormat="1"/>
    <w:lsdException w:name="Intense Quote" w:uiPriority="3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Normal">
    <w:name w:val="Normal"/>
    <w:qFormat/>
    <w:rsid w:val="006E72EC"/>
    <w:pPr>
      <w:spacing w:after="0" w:line="240" w:lineRule="auto"/>
    </w:pPr>
    <w:rPr>
      <w:rFonts w:ascii="Times New Roman" w:hAnsi="Times New Roman"/>
      <w:sz w:val="24"/>
    </w:rPr>
  </w:style>
  <w:style w:type="paragraph" w:styleId="Heading1">
    <w:name w:val="heading 1"/>
    <w:basedOn w:val="HeadingBase"/>
    <w:next w:val="Normal"/>
    <w:link w:val="Heading1Char"/>
    <w:qFormat/>
    <w:rsid w:val="006E72EC"/>
    <w:pPr>
      <w:numPr>
        <w:numId w:val="21"/>
      </w:numPr>
      <w:tabs>
        <w:tab w:val="clear" w:pos="720"/>
      </w:tabs>
      <w:spacing w:after="240"/>
      <w:outlineLvl w:val="0"/>
    </w:pPr>
    <w:rPr>
      <w:rFonts w:cs="Arial"/>
      <w:bCs/>
    </w:rPr>
  </w:style>
  <w:style w:type="paragraph" w:styleId="Heading2">
    <w:name w:val="heading 2"/>
    <w:basedOn w:val="HeadingBase"/>
    <w:next w:val="Normal"/>
    <w:link w:val="Heading2Char"/>
    <w:qFormat/>
    <w:rsid w:val="006E72EC"/>
    <w:pPr>
      <w:numPr>
        <w:ilvl w:val="1"/>
        <w:numId w:val="21"/>
      </w:numPr>
      <w:tabs>
        <w:tab w:val="clear" w:pos="1440"/>
      </w:tabs>
      <w:spacing w:after="240"/>
      <w:outlineLvl w:val="1"/>
    </w:pPr>
    <w:rPr>
      <w:rFonts w:cs="Arial"/>
      <w:bCs/>
      <w:iCs/>
      <w:szCs w:val="28"/>
    </w:rPr>
  </w:style>
  <w:style w:type="paragraph" w:styleId="Heading3">
    <w:name w:val="heading 3"/>
    <w:basedOn w:val="HeadingBase"/>
    <w:next w:val="Normal"/>
    <w:link w:val="Heading3Char"/>
    <w:qFormat/>
    <w:rsid w:val="006E72EC"/>
    <w:pPr>
      <w:numPr>
        <w:ilvl w:val="2"/>
        <w:numId w:val="21"/>
      </w:numPr>
      <w:tabs>
        <w:tab w:val="clear" w:pos="2160"/>
      </w:tabs>
      <w:spacing w:after="240"/>
      <w:outlineLvl w:val="2"/>
    </w:pPr>
    <w:rPr>
      <w:rFonts w:cs="Arial"/>
      <w:bCs/>
    </w:rPr>
  </w:style>
  <w:style w:type="paragraph" w:styleId="Heading4">
    <w:name w:val="heading 4"/>
    <w:basedOn w:val="HeadingBase"/>
    <w:next w:val="Normal"/>
    <w:link w:val="Heading4Char"/>
    <w:qFormat/>
    <w:rsid w:val="006E72EC"/>
    <w:pPr>
      <w:numPr>
        <w:ilvl w:val="3"/>
        <w:numId w:val="21"/>
      </w:numPr>
      <w:tabs>
        <w:tab w:val="clear" w:pos="2880"/>
      </w:tabs>
      <w:spacing w:after="240"/>
      <w:outlineLvl w:val="3"/>
    </w:pPr>
    <w:rPr>
      <w:bCs/>
      <w:szCs w:val="28"/>
    </w:rPr>
  </w:style>
  <w:style w:type="paragraph" w:styleId="Heading5">
    <w:name w:val="heading 5"/>
    <w:basedOn w:val="HeadingBase"/>
    <w:next w:val="Normal"/>
    <w:link w:val="Heading5Char"/>
    <w:qFormat/>
    <w:rsid w:val="006E72EC"/>
    <w:pPr>
      <w:numPr>
        <w:ilvl w:val="4"/>
        <w:numId w:val="21"/>
      </w:numPr>
      <w:tabs>
        <w:tab w:val="clear" w:pos="3600"/>
      </w:tabs>
      <w:spacing w:after="240"/>
      <w:outlineLvl w:val="4"/>
    </w:pPr>
    <w:rPr>
      <w:bCs/>
      <w:iCs/>
      <w:szCs w:val="26"/>
    </w:rPr>
  </w:style>
  <w:style w:type="paragraph" w:styleId="Heading6">
    <w:name w:val="heading 6"/>
    <w:basedOn w:val="HeadingBase"/>
    <w:next w:val="Normal"/>
    <w:link w:val="Heading6Char"/>
    <w:qFormat/>
    <w:rsid w:val="006E72EC"/>
    <w:pPr>
      <w:numPr>
        <w:ilvl w:val="5"/>
        <w:numId w:val="21"/>
      </w:numPr>
      <w:spacing w:after="240"/>
      <w:outlineLvl w:val="5"/>
    </w:pPr>
    <w:rPr>
      <w:bCs/>
    </w:rPr>
  </w:style>
  <w:style w:type="paragraph" w:styleId="Heading7">
    <w:name w:val="heading 7"/>
    <w:basedOn w:val="HeadingBase"/>
    <w:next w:val="Normal"/>
    <w:link w:val="Heading7Char"/>
    <w:qFormat/>
    <w:rsid w:val="006E72EC"/>
    <w:pPr>
      <w:numPr>
        <w:ilvl w:val="6"/>
        <w:numId w:val="21"/>
      </w:numPr>
      <w:tabs>
        <w:tab w:val="clear" w:pos="5040"/>
      </w:tabs>
      <w:spacing w:after="240"/>
      <w:outlineLvl w:val="6"/>
    </w:pPr>
  </w:style>
  <w:style w:type="paragraph" w:styleId="Heading8">
    <w:name w:val="heading 8"/>
    <w:basedOn w:val="HeadingBase"/>
    <w:next w:val="Normal"/>
    <w:link w:val="Heading8Char"/>
    <w:qFormat/>
    <w:rsid w:val="006E72EC"/>
    <w:pPr>
      <w:numPr>
        <w:ilvl w:val="7"/>
        <w:numId w:val="21"/>
      </w:numPr>
      <w:tabs>
        <w:tab w:val="clear" w:pos="5760"/>
      </w:tabs>
      <w:spacing w:after="240"/>
      <w:outlineLvl w:val="7"/>
    </w:pPr>
    <w:rPr>
      <w:iCs/>
    </w:rPr>
  </w:style>
  <w:style w:type="paragraph" w:styleId="Heading9">
    <w:name w:val="heading 9"/>
    <w:basedOn w:val="HeadingBase"/>
    <w:next w:val="Normal"/>
    <w:link w:val="Heading9Char"/>
    <w:qFormat/>
    <w:rsid w:val="006E72EC"/>
    <w:pPr>
      <w:numPr>
        <w:ilvl w:val="8"/>
        <w:numId w:val="21"/>
      </w:numPr>
      <w:tabs>
        <w:tab w:val="clear" w:pos="6480"/>
      </w:tabs>
      <w:spacing w:after="240"/>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E72EC"/>
    <w:rPr>
      <w:rFonts w:ascii="Times New Roman" w:eastAsia="Times New Roman" w:hAnsi="Times New Roman" w:cs="Arial"/>
      <w:bCs/>
      <w:sz w:val="24"/>
      <w:szCs w:val="24"/>
    </w:rPr>
  </w:style>
  <w:style w:type="paragraph" w:styleId="Header">
    <w:name w:val="header"/>
    <w:basedOn w:val="Normal"/>
    <w:link w:val="HeaderChar"/>
    <w:uiPriority w:val="99"/>
    <w:semiHidden/>
    <w:unhideWhenUsed/>
    <w:rsid w:val="006E72EC"/>
    <w:pPr>
      <w:tabs>
        <w:tab w:val="center" w:pos="4680"/>
        <w:tab w:val="right" w:pos="9360"/>
      </w:tabs>
    </w:pPr>
  </w:style>
  <w:style w:type="character" w:customStyle="1" w:styleId="HeaderChar">
    <w:name w:val="Header Char"/>
    <w:basedOn w:val="DefaultParagraphFont"/>
    <w:link w:val="Header"/>
    <w:uiPriority w:val="99"/>
    <w:semiHidden/>
    <w:rsid w:val="006E72EC"/>
  </w:style>
  <w:style w:type="paragraph" w:styleId="Footer">
    <w:name w:val="footer"/>
    <w:basedOn w:val="Normal"/>
    <w:link w:val="FooterChar"/>
    <w:uiPriority w:val="99"/>
    <w:unhideWhenUsed/>
    <w:rsid w:val="006E72EC"/>
    <w:pPr>
      <w:tabs>
        <w:tab w:val="center" w:pos="4680"/>
        <w:tab w:val="right" w:pos="9360"/>
      </w:tabs>
    </w:pPr>
  </w:style>
  <w:style w:type="character" w:customStyle="1" w:styleId="FooterChar">
    <w:name w:val="Footer Char"/>
    <w:basedOn w:val="DefaultParagraphFont"/>
    <w:link w:val="Footer"/>
    <w:uiPriority w:val="99"/>
    <w:rsid w:val="006E72EC"/>
    <w:rPr>
      <w:rFonts w:ascii="Times New Roman" w:hAnsi="Times New Roman"/>
      <w:sz w:val="24"/>
    </w:rPr>
  </w:style>
  <w:style w:type="paragraph" w:styleId="BlockText">
    <w:name w:val="Block Text"/>
    <w:basedOn w:val="Normal"/>
    <w:qFormat/>
    <w:rsid w:val="006E72EC"/>
    <w:pPr>
      <w:spacing w:after="240"/>
      <w:ind w:left="1440" w:right="1440"/>
    </w:pPr>
    <w:rPr>
      <w:rFonts w:eastAsia="Times New Roman" w:cs="Times New Roman"/>
      <w:szCs w:val="24"/>
    </w:rPr>
  </w:style>
  <w:style w:type="paragraph" w:styleId="BodyText2">
    <w:name w:val="Body Text 2"/>
    <w:basedOn w:val="Normal"/>
    <w:link w:val="BodyText2Char"/>
    <w:qFormat/>
    <w:rsid w:val="006E72EC"/>
    <w:pPr>
      <w:spacing w:line="480" w:lineRule="auto"/>
    </w:pPr>
    <w:rPr>
      <w:rFonts w:eastAsia="Times New Roman" w:cs="Times New Roman"/>
      <w:szCs w:val="24"/>
    </w:rPr>
  </w:style>
  <w:style w:type="character" w:customStyle="1" w:styleId="BodyText2Char">
    <w:name w:val="Body Text 2 Char"/>
    <w:basedOn w:val="DefaultParagraphFont"/>
    <w:link w:val="BodyText2"/>
    <w:rsid w:val="006E72EC"/>
    <w:rPr>
      <w:rFonts w:ascii="Times New Roman" w:eastAsia="Times New Roman" w:hAnsi="Times New Roman" w:cs="Times New Roman"/>
      <w:sz w:val="24"/>
      <w:szCs w:val="24"/>
    </w:rPr>
  </w:style>
  <w:style w:type="paragraph" w:styleId="BodyText">
    <w:name w:val="Body Text"/>
    <w:basedOn w:val="Normal"/>
    <w:link w:val="BodyTextChar"/>
    <w:qFormat/>
    <w:rsid w:val="006E72EC"/>
    <w:pPr>
      <w:spacing w:after="240"/>
    </w:pPr>
    <w:rPr>
      <w:rFonts w:eastAsia="Times New Roman" w:cs="Times New Roman"/>
      <w:szCs w:val="24"/>
    </w:rPr>
  </w:style>
  <w:style w:type="character" w:customStyle="1" w:styleId="BodyTextChar">
    <w:name w:val="Body Text Char"/>
    <w:basedOn w:val="DefaultParagraphFont"/>
    <w:link w:val="BodyText"/>
    <w:rsid w:val="006E72EC"/>
    <w:rPr>
      <w:rFonts w:ascii="Times New Roman" w:eastAsia="Times New Roman" w:hAnsi="Times New Roman" w:cs="Times New Roman"/>
      <w:sz w:val="24"/>
      <w:szCs w:val="24"/>
    </w:rPr>
  </w:style>
  <w:style w:type="character" w:customStyle="1" w:styleId="DocID">
    <w:name w:val="DocID"/>
    <w:basedOn w:val="DefaultParagraphFont"/>
    <w:rsid w:val="006E72EC"/>
    <w:rPr>
      <w:sz w:val="16"/>
    </w:rPr>
  </w:style>
  <w:style w:type="character" w:styleId="Emphasis">
    <w:name w:val="Emphasis"/>
    <w:basedOn w:val="DefaultParagraphFont"/>
    <w:unhideWhenUsed/>
    <w:qFormat/>
    <w:rsid w:val="006E72EC"/>
    <w:rPr>
      <w:i/>
      <w:iCs/>
    </w:rPr>
  </w:style>
  <w:style w:type="character" w:customStyle="1" w:styleId="Heading2Char">
    <w:name w:val="Heading 2 Char"/>
    <w:basedOn w:val="DefaultParagraphFont"/>
    <w:link w:val="Heading2"/>
    <w:rsid w:val="006E72EC"/>
    <w:rPr>
      <w:rFonts w:ascii="Times New Roman" w:eastAsia="Times New Roman" w:hAnsi="Times New Roman" w:cs="Arial"/>
      <w:bCs/>
      <w:iCs/>
      <w:sz w:val="24"/>
      <w:szCs w:val="28"/>
    </w:rPr>
  </w:style>
  <w:style w:type="character" w:customStyle="1" w:styleId="Heading3Char">
    <w:name w:val="Heading 3 Char"/>
    <w:basedOn w:val="DefaultParagraphFont"/>
    <w:link w:val="Heading3"/>
    <w:rsid w:val="006E72EC"/>
    <w:rPr>
      <w:rFonts w:ascii="Times New Roman" w:eastAsia="Times New Roman" w:hAnsi="Times New Roman" w:cs="Arial"/>
      <w:bCs/>
      <w:sz w:val="24"/>
      <w:szCs w:val="24"/>
    </w:rPr>
  </w:style>
  <w:style w:type="character" w:customStyle="1" w:styleId="Heading4Char">
    <w:name w:val="Heading 4 Char"/>
    <w:basedOn w:val="DefaultParagraphFont"/>
    <w:link w:val="Heading4"/>
    <w:rsid w:val="006E72EC"/>
    <w:rPr>
      <w:rFonts w:ascii="Times New Roman" w:eastAsia="Times New Roman" w:hAnsi="Times New Roman" w:cs="Times New Roman"/>
      <w:bCs/>
      <w:sz w:val="24"/>
      <w:szCs w:val="28"/>
    </w:rPr>
  </w:style>
  <w:style w:type="character" w:customStyle="1" w:styleId="Heading5Char">
    <w:name w:val="Heading 5 Char"/>
    <w:basedOn w:val="DefaultParagraphFont"/>
    <w:link w:val="Heading5"/>
    <w:rsid w:val="006E72EC"/>
    <w:rPr>
      <w:rFonts w:ascii="Times New Roman" w:eastAsia="Times New Roman" w:hAnsi="Times New Roman" w:cs="Times New Roman"/>
      <w:bCs/>
      <w:iCs/>
      <w:sz w:val="24"/>
      <w:szCs w:val="26"/>
    </w:rPr>
  </w:style>
  <w:style w:type="character" w:customStyle="1" w:styleId="Heading6Char">
    <w:name w:val="Heading 6 Char"/>
    <w:basedOn w:val="DefaultParagraphFont"/>
    <w:link w:val="Heading6"/>
    <w:rsid w:val="006E72EC"/>
    <w:rPr>
      <w:rFonts w:ascii="Times New Roman" w:eastAsia="Times New Roman" w:hAnsi="Times New Roman" w:cs="Times New Roman"/>
      <w:bCs/>
      <w:sz w:val="24"/>
      <w:szCs w:val="24"/>
    </w:rPr>
  </w:style>
  <w:style w:type="character" w:customStyle="1" w:styleId="Heading7Char">
    <w:name w:val="Heading 7 Char"/>
    <w:basedOn w:val="DefaultParagraphFont"/>
    <w:link w:val="Heading7"/>
    <w:rsid w:val="006E72EC"/>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6E72EC"/>
    <w:rPr>
      <w:rFonts w:ascii="Times New Roman" w:eastAsia="Times New Roman" w:hAnsi="Times New Roman" w:cs="Times New Roman"/>
      <w:iCs/>
      <w:sz w:val="24"/>
      <w:szCs w:val="24"/>
    </w:rPr>
  </w:style>
  <w:style w:type="character" w:customStyle="1" w:styleId="Heading9Char">
    <w:name w:val="Heading 9 Char"/>
    <w:basedOn w:val="DefaultParagraphFont"/>
    <w:link w:val="Heading9"/>
    <w:rsid w:val="006E72EC"/>
    <w:rPr>
      <w:rFonts w:ascii="Times New Roman" w:eastAsia="Times New Roman" w:hAnsi="Times New Roman" w:cs="Arial"/>
      <w:sz w:val="24"/>
    </w:rPr>
  </w:style>
  <w:style w:type="paragraph" w:customStyle="1" w:styleId="HeadingBase">
    <w:name w:val="Heading Base"/>
    <w:basedOn w:val="Normal"/>
    <w:next w:val="Normal"/>
    <w:rsid w:val="006E72EC"/>
    <w:rPr>
      <w:rFonts w:eastAsia="Times New Roman" w:cs="Times New Roman"/>
      <w:szCs w:val="24"/>
    </w:rPr>
  </w:style>
  <w:style w:type="paragraph" w:styleId="ListBullet">
    <w:name w:val="List Bullet"/>
    <w:basedOn w:val="Normal"/>
    <w:rsid w:val="006E72EC"/>
    <w:pPr>
      <w:numPr>
        <w:numId w:val="11"/>
      </w:numPr>
    </w:pPr>
    <w:rPr>
      <w:rFonts w:eastAsia="Times New Roman" w:cs="Times New Roman"/>
      <w:szCs w:val="24"/>
    </w:rPr>
  </w:style>
  <w:style w:type="paragraph" w:customStyle="1" w:styleId="OutlineBodyText">
    <w:name w:val="Outline Body Text"/>
    <w:basedOn w:val="Normal"/>
    <w:qFormat/>
    <w:rsid w:val="006E72EC"/>
    <w:pPr>
      <w:spacing w:after="240"/>
      <w:ind w:firstLine="720"/>
    </w:pPr>
    <w:rPr>
      <w:rFonts w:eastAsia="Times New Roman" w:cs="Times New Roman"/>
      <w:szCs w:val="20"/>
    </w:rPr>
  </w:style>
  <w:style w:type="paragraph" w:styleId="Signature">
    <w:name w:val="Signature"/>
    <w:basedOn w:val="Normal"/>
    <w:link w:val="SignatureChar"/>
    <w:qFormat/>
    <w:rsid w:val="006E72EC"/>
    <w:pPr>
      <w:ind w:left="4320"/>
    </w:pPr>
    <w:rPr>
      <w:rFonts w:eastAsia="Times New Roman" w:cs="Times New Roman"/>
      <w:szCs w:val="24"/>
    </w:rPr>
  </w:style>
  <w:style w:type="character" w:customStyle="1" w:styleId="SignatureChar">
    <w:name w:val="Signature Char"/>
    <w:basedOn w:val="DefaultParagraphFont"/>
    <w:link w:val="Signature"/>
    <w:rsid w:val="006E72EC"/>
    <w:rPr>
      <w:rFonts w:ascii="Times New Roman" w:eastAsia="Times New Roman" w:hAnsi="Times New Roman" w:cs="Times New Roman"/>
      <w:sz w:val="24"/>
      <w:szCs w:val="24"/>
    </w:rPr>
  </w:style>
  <w:style w:type="character" w:styleId="Strong">
    <w:name w:val="Strong"/>
    <w:basedOn w:val="DefaultParagraphFont"/>
    <w:unhideWhenUsed/>
    <w:qFormat/>
    <w:rsid w:val="006E72EC"/>
    <w:rPr>
      <w:b/>
      <w:bCs/>
    </w:rPr>
  </w:style>
  <w:style w:type="paragraph" w:styleId="Title">
    <w:name w:val="Title"/>
    <w:basedOn w:val="Normal"/>
    <w:link w:val="TitleChar"/>
    <w:unhideWhenUsed/>
    <w:qFormat/>
    <w:rsid w:val="006E72EC"/>
    <w:pPr>
      <w:spacing w:before="240"/>
      <w:jc w:val="center"/>
      <w:outlineLvl w:val="0"/>
    </w:pPr>
    <w:rPr>
      <w:rFonts w:eastAsia="Times New Roman" w:cs="Arial"/>
      <w:b/>
      <w:bCs/>
      <w:kern w:val="28"/>
      <w:sz w:val="32"/>
      <w:szCs w:val="32"/>
    </w:rPr>
  </w:style>
  <w:style w:type="character" w:customStyle="1" w:styleId="TitleChar">
    <w:name w:val="Title Char"/>
    <w:basedOn w:val="DefaultParagraphFont"/>
    <w:link w:val="Title"/>
    <w:rsid w:val="006E72EC"/>
    <w:rPr>
      <w:rFonts w:ascii="Times New Roman" w:eastAsia="Times New Roman" w:hAnsi="Times New Roman" w:cs="Arial"/>
      <w:b/>
      <w:bCs/>
      <w:kern w:val="28"/>
      <w:sz w:val="32"/>
      <w:szCs w:val="32"/>
    </w:rPr>
  </w:style>
  <w:style w:type="paragraph" w:styleId="Caption">
    <w:name w:val="caption"/>
    <w:basedOn w:val="Normal"/>
    <w:next w:val="Normal"/>
    <w:qFormat/>
    <w:rsid w:val="006E72EC"/>
    <w:rPr>
      <w:rFonts w:eastAsia="Times New Roman" w:cs="Times New Roman"/>
      <w:b/>
      <w:bCs/>
      <w:sz w:val="20"/>
      <w:szCs w:val="20"/>
    </w:rPr>
  </w:style>
  <w:style w:type="paragraph" w:styleId="Closing">
    <w:name w:val="Closing"/>
    <w:basedOn w:val="Normal"/>
    <w:link w:val="ClosingChar"/>
    <w:rsid w:val="006E72EC"/>
    <w:pPr>
      <w:ind w:left="4320"/>
    </w:pPr>
    <w:rPr>
      <w:rFonts w:eastAsia="Times New Roman" w:cs="Times New Roman"/>
      <w:szCs w:val="24"/>
    </w:rPr>
  </w:style>
  <w:style w:type="character" w:customStyle="1" w:styleId="ClosingChar">
    <w:name w:val="Closing Char"/>
    <w:basedOn w:val="DefaultParagraphFont"/>
    <w:link w:val="Closing"/>
    <w:rsid w:val="006E72EC"/>
    <w:rPr>
      <w:rFonts w:ascii="Times New Roman" w:eastAsia="Times New Roman" w:hAnsi="Times New Roman" w:cs="Times New Roman"/>
      <w:sz w:val="24"/>
      <w:szCs w:val="24"/>
    </w:rPr>
  </w:style>
  <w:style w:type="paragraph" w:styleId="FootnoteText">
    <w:name w:val="footnote text"/>
    <w:basedOn w:val="Normal"/>
    <w:link w:val="FootnoteTextChar"/>
    <w:rsid w:val="006E72EC"/>
    <w:pPr>
      <w:tabs>
        <w:tab w:val="left" w:pos="446"/>
      </w:tabs>
      <w:spacing w:after="120" w:line="240" w:lineRule="exact"/>
    </w:pPr>
    <w:rPr>
      <w:rFonts w:eastAsia="Times New Roman" w:cs="Times New Roman"/>
      <w:szCs w:val="20"/>
    </w:rPr>
  </w:style>
  <w:style w:type="character" w:customStyle="1" w:styleId="FootnoteTextChar">
    <w:name w:val="Footnote Text Char"/>
    <w:basedOn w:val="DefaultParagraphFont"/>
    <w:link w:val="FootnoteText"/>
    <w:rsid w:val="006E72EC"/>
    <w:rPr>
      <w:rFonts w:ascii="Times New Roman" w:eastAsia="Times New Roman" w:hAnsi="Times New Roman" w:cs="Times New Roman"/>
      <w:sz w:val="24"/>
      <w:szCs w:val="20"/>
    </w:rPr>
  </w:style>
  <w:style w:type="paragraph" w:styleId="MessageHeader">
    <w:name w:val="Message Header"/>
    <w:basedOn w:val="Normal"/>
    <w:link w:val="MessageHeaderChar"/>
    <w:rsid w:val="006E72EC"/>
    <w:pPr>
      <w:pBdr>
        <w:top w:val="single" w:sz="6" w:space="1" w:color="auto"/>
        <w:left w:val="single" w:sz="6" w:space="1" w:color="auto"/>
        <w:bottom w:val="single" w:sz="6" w:space="1" w:color="auto"/>
        <w:right w:val="single" w:sz="6" w:space="1" w:color="auto"/>
      </w:pBdr>
      <w:shd w:val="pct20" w:color="auto" w:fill="auto"/>
      <w:ind w:left="1080" w:hanging="1080"/>
    </w:pPr>
    <w:rPr>
      <w:rFonts w:ascii="Arial" w:eastAsia="Times New Roman" w:hAnsi="Arial" w:cs="Arial"/>
      <w:szCs w:val="24"/>
    </w:rPr>
  </w:style>
  <w:style w:type="character" w:customStyle="1" w:styleId="MessageHeaderChar">
    <w:name w:val="Message Header Char"/>
    <w:basedOn w:val="DefaultParagraphFont"/>
    <w:link w:val="MessageHeader"/>
    <w:rsid w:val="006E72EC"/>
    <w:rPr>
      <w:rFonts w:ascii="Arial" w:eastAsia="Times New Roman" w:hAnsi="Arial" w:cs="Arial"/>
      <w:sz w:val="24"/>
      <w:szCs w:val="24"/>
      <w:shd w:val="pct20" w:color="auto" w:fill="auto"/>
    </w:rPr>
  </w:style>
  <w:style w:type="paragraph" w:styleId="Subtitle">
    <w:name w:val="Subtitle"/>
    <w:basedOn w:val="Normal"/>
    <w:link w:val="SubtitleChar"/>
    <w:qFormat/>
    <w:rsid w:val="006E72EC"/>
    <w:pPr>
      <w:spacing w:after="60"/>
      <w:jc w:val="center"/>
      <w:outlineLvl w:val="1"/>
    </w:pPr>
    <w:rPr>
      <w:rFonts w:ascii="Arial" w:eastAsia="Times New Roman" w:hAnsi="Arial" w:cs="Arial"/>
      <w:szCs w:val="24"/>
    </w:rPr>
  </w:style>
  <w:style w:type="character" w:customStyle="1" w:styleId="SubtitleChar">
    <w:name w:val="Subtitle Char"/>
    <w:basedOn w:val="DefaultParagraphFont"/>
    <w:link w:val="Subtitle"/>
    <w:rsid w:val="006E72EC"/>
    <w:rPr>
      <w:rFonts w:ascii="Arial" w:eastAsia="Times New Roman" w:hAnsi="Arial" w:cs="Arial"/>
      <w:sz w:val="24"/>
      <w:szCs w:val="24"/>
    </w:rPr>
  </w:style>
  <w:style w:type="paragraph" w:customStyle="1" w:styleId="OutlineBodyText2">
    <w:name w:val="Outline Body Text 2"/>
    <w:basedOn w:val="Normal"/>
    <w:qFormat/>
    <w:rsid w:val="006E72EC"/>
    <w:pPr>
      <w:spacing w:line="480" w:lineRule="auto"/>
      <w:ind w:firstLine="720"/>
    </w:pPr>
  </w:style>
  <w:style w:type="paragraph" w:customStyle="1" w:styleId="HeadingBody1">
    <w:name w:val="HeadingBody 1"/>
    <w:basedOn w:val="Normal"/>
    <w:next w:val="Normal"/>
    <w:link w:val="HeadingBody1Char"/>
    <w:rsid w:val="006E72EC"/>
    <w:pPr>
      <w:spacing w:after="240"/>
      <w:ind w:firstLine="720"/>
    </w:pPr>
    <w:rPr>
      <w:rFonts w:cs="Times New Roman"/>
      <w:szCs w:val="20"/>
    </w:rPr>
  </w:style>
  <w:style w:type="character" w:customStyle="1" w:styleId="HeadingBody1Char">
    <w:name w:val="HeadingBody 1 Char"/>
    <w:basedOn w:val="Heading2Char"/>
    <w:link w:val="HeadingBody1"/>
    <w:rsid w:val="006E72EC"/>
    <w:rPr>
      <w:rFonts w:ascii="Times New Roman" w:eastAsia="Times New Roman" w:hAnsi="Times New Roman" w:cs="Times New Roman"/>
      <w:bCs/>
      <w:iCs/>
      <w:sz w:val="24"/>
      <w:szCs w:val="20"/>
    </w:rPr>
  </w:style>
  <w:style w:type="paragraph" w:customStyle="1" w:styleId="HeadingBody2">
    <w:name w:val="HeadingBody 2"/>
    <w:basedOn w:val="Normal"/>
    <w:next w:val="Normal"/>
    <w:link w:val="HeadingBody2Char"/>
    <w:rsid w:val="006E72EC"/>
    <w:pPr>
      <w:spacing w:after="240"/>
      <w:ind w:firstLine="1440"/>
    </w:pPr>
    <w:rPr>
      <w:rFonts w:cs="Times New Roman"/>
      <w:szCs w:val="24"/>
    </w:rPr>
  </w:style>
  <w:style w:type="character" w:customStyle="1" w:styleId="HeadingBody2Char">
    <w:name w:val="HeadingBody 2 Char"/>
    <w:basedOn w:val="Heading2Char"/>
    <w:link w:val="HeadingBody2"/>
    <w:rsid w:val="006E72EC"/>
    <w:rPr>
      <w:rFonts w:ascii="Times New Roman" w:eastAsia="Times New Roman" w:hAnsi="Times New Roman" w:cs="Times New Roman"/>
      <w:bCs/>
      <w:iCs/>
      <w:sz w:val="24"/>
      <w:szCs w:val="24"/>
    </w:rPr>
  </w:style>
  <w:style w:type="paragraph" w:customStyle="1" w:styleId="HeadingBody3">
    <w:name w:val="HeadingBody 3"/>
    <w:basedOn w:val="Normal"/>
    <w:next w:val="Normal"/>
    <w:link w:val="HeadingBody3Char"/>
    <w:rsid w:val="006E72EC"/>
    <w:pPr>
      <w:spacing w:after="240"/>
      <w:ind w:firstLine="2160"/>
    </w:pPr>
    <w:rPr>
      <w:rFonts w:cs="Times New Roman"/>
      <w:szCs w:val="24"/>
    </w:rPr>
  </w:style>
  <w:style w:type="character" w:customStyle="1" w:styleId="HeadingBody3Char">
    <w:name w:val="HeadingBody 3 Char"/>
    <w:basedOn w:val="Heading2Char"/>
    <w:link w:val="HeadingBody3"/>
    <w:rsid w:val="006E72EC"/>
    <w:rPr>
      <w:rFonts w:ascii="Times New Roman" w:eastAsia="Times New Roman" w:hAnsi="Times New Roman" w:cs="Times New Roman"/>
      <w:bCs/>
      <w:iCs/>
      <w:sz w:val="24"/>
      <w:szCs w:val="24"/>
    </w:rPr>
  </w:style>
  <w:style w:type="paragraph" w:customStyle="1" w:styleId="HeadingBody4">
    <w:name w:val="HeadingBody 4"/>
    <w:basedOn w:val="Normal"/>
    <w:next w:val="Normal"/>
    <w:link w:val="HeadingBody4Char"/>
    <w:rsid w:val="006E72EC"/>
    <w:pPr>
      <w:spacing w:after="240"/>
      <w:ind w:firstLine="2880"/>
    </w:pPr>
    <w:rPr>
      <w:rFonts w:cs="Times New Roman"/>
      <w:szCs w:val="24"/>
    </w:rPr>
  </w:style>
  <w:style w:type="character" w:customStyle="1" w:styleId="HeadingBody4Char">
    <w:name w:val="HeadingBody 4 Char"/>
    <w:basedOn w:val="Heading2Char"/>
    <w:link w:val="HeadingBody4"/>
    <w:rsid w:val="006E72EC"/>
    <w:rPr>
      <w:rFonts w:ascii="Times New Roman" w:eastAsia="Times New Roman" w:hAnsi="Times New Roman" w:cs="Times New Roman"/>
      <w:bCs/>
      <w:iCs/>
      <w:sz w:val="24"/>
      <w:szCs w:val="24"/>
    </w:rPr>
  </w:style>
  <w:style w:type="paragraph" w:customStyle="1" w:styleId="HeadingBody5">
    <w:name w:val="HeadingBody 5"/>
    <w:basedOn w:val="Normal"/>
    <w:next w:val="Normal"/>
    <w:link w:val="HeadingBody5Char"/>
    <w:rsid w:val="006E72EC"/>
    <w:pPr>
      <w:spacing w:after="240"/>
      <w:ind w:firstLine="3600"/>
    </w:pPr>
    <w:rPr>
      <w:rFonts w:cs="Times New Roman"/>
      <w:szCs w:val="24"/>
    </w:rPr>
  </w:style>
  <w:style w:type="character" w:customStyle="1" w:styleId="HeadingBody5Char">
    <w:name w:val="HeadingBody 5 Char"/>
    <w:basedOn w:val="Heading2Char"/>
    <w:link w:val="HeadingBody5"/>
    <w:rsid w:val="006E72EC"/>
    <w:rPr>
      <w:rFonts w:ascii="Times New Roman" w:eastAsia="Times New Roman" w:hAnsi="Times New Roman" w:cs="Times New Roman"/>
      <w:bCs/>
      <w:iCs/>
      <w:sz w:val="24"/>
      <w:szCs w:val="24"/>
    </w:rPr>
  </w:style>
  <w:style w:type="paragraph" w:customStyle="1" w:styleId="HeadingBody6">
    <w:name w:val="HeadingBody 6"/>
    <w:basedOn w:val="Normal"/>
    <w:next w:val="Normal"/>
    <w:link w:val="HeadingBody6Char"/>
    <w:rsid w:val="006E72EC"/>
    <w:pPr>
      <w:spacing w:after="240"/>
      <w:ind w:firstLine="4320"/>
    </w:pPr>
    <w:rPr>
      <w:rFonts w:cs="Times New Roman"/>
      <w:szCs w:val="24"/>
    </w:rPr>
  </w:style>
  <w:style w:type="character" w:customStyle="1" w:styleId="HeadingBody6Char">
    <w:name w:val="HeadingBody 6 Char"/>
    <w:basedOn w:val="Heading2Char"/>
    <w:link w:val="HeadingBody6"/>
    <w:rsid w:val="006E72EC"/>
    <w:rPr>
      <w:rFonts w:ascii="Times New Roman" w:eastAsia="Times New Roman" w:hAnsi="Times New Roman" w:cs="Times New Roman"/>
      <w:bCs/>
      <w:iCs/>
      <w:sz w:val="24"/>
      <w:szCs w:val="24"/>
    </w:rPr>
  </w:style>
  <w:style w:type="paragraph" w:customStyle="1" w:styleId="HeadingBody7">
    <w:name w:val="HeadingBody 7"/>
    <w:basedOn w:val="Normal"/>
    <w:next w:val="Normal"/>
    <w:link w:val="HeadingBody7Char"/>
    <w:rsid w:val="006E72EC"/>
    <w:pPr>
      <w:spacing w:after="240"/>
      <w:ind w:firstLine="5040"/>
    </w:pPr>
    <w:rPr>
      <w:rFonts w:cs="Times New Roman"/>
      <w:szCs w:val="24"/>
    </w:rPr>
  </w:style>
  <w:style w:type="character" w:customStyle="1" w:styleId="HeadingBody7Char">
    <w:name w:val="HeadingBody 7 Char"/>
    <w:basedOn w:val="Heading2Char"/>
    <w:link w:val="HeadingBody7"/>
    <w:rsid w:val="006E72EC"/>
    <w:rPr>
      <w:rFonts w:ascii="Times New Roman" w:eastAsia="Times New Roman" w:hAnsi="Times New Roman" w:cs="Times New Roman"/>
      <w:bCs/>
      <w:iCs/>
      <w:sz w:val="24"/>
      <w:szCs w:val="24"/>
    </w:rPr>
  </w:style>
  <w:style w:type="paragraph" w:customStyle="1" w:styleId="HeadingBody8">
    <w:name w:val="HeadingBody 8"/>
    <w:basedOn w:val="Normal"/>
    <w:next w:val="Normal"/>
    <w:link w:val="HeadingBody8Char"/>
    <w:rsid w:val="006E72EC"/>
    <w:pPr>
      <w:spacing w:after="240"/>
      <w:ind w:firstLine="5760"/>
    </w:pPr>
    <w:rPr>
      <w:rFonts w:cs="Times New Roman"/>
      <w:szCs w:val="24"/>
    </w:rPr>
  </w:style>
  <w:style w:type="character" w:customStyle="1" w:styleId="HeadingBody8Char">
    <w:name w:val="HeadingBody 8 Char"/>
    <w:basedOn w:val="Heading2Char"/>
    <w:link w:val="HeadingBody8"/>
    <w:rsid w:val="006E72EC"/>
    <w:rPr>
      <w:rFonts w:ascii="Times New Roman" w:eastAsia="Times New Roman" w:hAnsi="Times New Roman" w:cs="Times New Roman"/>
      <w:bCs/>
      <w:iCs/>
      <w:sz w:val="24"/>
      <w:szCs w:val="24"/>
    </w:rPr>
  </w:style>
  <w:style w:type="paragraph" w:customStyle="1" w:styleId="HeadingBody9">
    <w:name w:val="HeadingBody 9"/>
    <w:basedOn w:val="Normal"/>
    <w:next w:val="Normal"/>
    <w:link w:val="HeadingBody9Char"/>
    <w:rsid w:val="006E72EC"/>
    <w:pPr>
      <w:spacing w:after="240"/>
      <w:ind w:firstLine="6480"/>
    </w:pPr>
    <w:rPr>
      <w:rFonts w:cs="Times New Roman"/>
      <w:szCs w:val="24"/>
    </w:rPr>
  </w:style>
  <w:style w:type="character" w:customStyle="1" w:styleId="HeadingBody9Char">
    <w:name w:val="HeadingBody 9 Char"/>
    <w:basedOn w:val="Heading2Char"/>
    <w:link w:val="HeadingBody9"/>
    <w:rsid w:val="006E72EC"/>
    <w:rPr>
      <w:rFonts w:ascii="Times New Roman" w:eastAsia="Times New Roman" w:hAnsi="Times New Roman" w:cs="Times New Roman"/>
      <w:bCs/>
      <w:iCs/>
      <w:sz w:val="24"/>
      <w:szCs w:val="24"/>
    </w:rPr>
  </w:style>
  <w:style w:type="paragraph" w:styleId="TOCHeading">
    <w:name w:val="TOC Heading"/>
    <w:basedOn w:val="Heading1"/>
    <w:next w:val="Normal"/>
    <w:uiPriority w:val="39"/>
    <w:unhideWhenUsed/>
    <w:qFormat/>
    <w:rsid w:val="006E72EC"/>
    <w:pPr>
      <w:keepNext/>
      <w:keepLines/>
      <w:numPr>
        <w:numId w:val="0"/>
      </w:numPr>
      <w:jc w:val="center"/>
      <w:outlineLvl w:val="9"/>
    </w:pPr>
    <w:rPr>
      <w:rFonts w:eastAsiaTheme="majorEastAsia" w:cstheme="majorBidi"/>
      <w:b/>
      <w:caps/>
      <w:szCs w:val="28"/>
      <w:u w:val="single"/>
    </w:rPr>
  </w:style>
  <w:style w:type="paragraph" w:customStyle="1" w:styleId="TOCPage">
    <w:name w:val="TOC Page"/>
    <w:basedOn w:val="Normal"/>
    <w:next w:val="Normal"/>
    <w:link w:val="TOCPageChar"/>
    <w:rsid w:val="006E72EC"/>
    <w:pPr>
      <w:spacing w:after="240"/>
      <w:jc w:val="right"/>
    </w:pPr>
    <w:rPr>
      <w:rFonts w:cs="Times New Roman"/>
      <w:b/>
      <w:u w:val="single"/>
    </w:rPr>
  </w:style>
  <w:style w:type="character" w:customStyle="1" w:styleId="TOCPageChar">
    <w:name w:val="TOC Page Char"/>
    <w:basedOn w:val="DefaultParagraphFont"/>
    <w:link w:val="TOCPage"/>
    <w:rsid w:val="006E72EC"/>
    <w:rPr>
      <w:rFonts w:ascii="Times New Roman" w:hAnsi="Times New Roman" w:cs="Times New Roman"/>
      <w:b/>
      <w:sz w:val="24"/>
      <w:u w:val="single"/>
    </w:rPr>
  </w:style>
  <w:style w:type="paragraph" w:styleId="BodyText3">
    <w:name w:val="Body Text 3"/>
    <w:basedOn w:val="Normal"/>
    <w:next w:val="Normal"/>
    <w:link w:val="BodyText3Char"/>
    <w:uiPriority w:val="99"/>
    <w:semiHidden/>
    <w:unhideWhenUsed/>
    <w:rsid w:val="006E72EC"/>
    <w:pPr>
      <w:spacing w:after="240"/>
      <w:ind w:left="2160" w:hanging="720"/>
    </w:pPr>
    <w:rPr>
      <w:szCs w:val="16"/>
    </w:rPr>
  </w:style>
  <w:style w:type="character" w:customStyle="1" w:styleId="BodyText3Char">
    <w:name w:val="Body Text 3 Char"/>
    <w:basedOn w:val="DefaultParagraphFont"/>
    <w:link w:val="BodyText3"/>
    <w:uiPriority w:val="99"/>
    <w:semiHidden/>
    <w:rsid w:val="006E72EC"/>
    <w:rPr>
      <w:rFonts w:ascii="Times New Roman" w:hAnsi="Times New Roman"/>
      <w:sz w:val="24"/>
      <w:szCs w:val="16"/>
    </w:rPr>
  </w:style>
  <w:style w:type="character" w:styleId="FootnoteReference">
    <w:name w:val="footnote reference"/>
    <w:basedOn w:val="DefaultParagraphFont"/>
    <w:uiPriority w:val="99"/>
    <w:semiHidden/>
    <w:unhideWhenUsed/>
    <w:rsid w:val="006E72EC"/>
    <w:rPr>
      <w:vertAlign w:val="superscript"/>
    </w:rPr>
  </w:style>
  <w:style w:type="character" w:styleId="PageNumber">
    <w:name w:val="page number"/>
    <w:basedOn w:val="DefaultParagraphFont"/>
    <w:uiPriority w:val="99"/>
    <w:unhideWhenUsed/>
    <w:rsid w:val="006E72EC"/>
    <w:rPr>
      <w:rFonts w:ascii="Times New Roman" w:hAnsi="Times New Roman" w:cs="Times New Roman"/>
      <w:b w:val="0"/>
      <w:sz w:val="24"/>
    </w:rPr>
  </w:style>
  <w:style w:type="paragraph" w:styleId="EndnoteText">
    <w:name w:val="endnote text"/>
    <w:basedOn w:val="Normal"/>
    <w:link w:val="EndnoteTextChar"/>
    <w:rsid w:val="006E72EC"/>
    <w:rPr>
      <w:rFonts w:eastAsia="Times New Roman" w:cs="Times New Roman"/>
      <w:sz w:val="20"/>
      <w:szCs w:val="20"/>
    </w:rPr>
  </w:style>
  <w:style w:type="character" w:customStyle="1" w:styleId="EndnoteTextChar">
    <w:name w:val="Endnote Text Char"/>
    <w:basedOn w:val="DefaultParagraphFont"/>
    <w:link w:val="EndnoteText"/>
    <w:rsid w:val="006E72EC"/>
    <w:rPr>
      <w:rFonts w:ascii="Times New Roman" w:eastAsia="Times New Roman" w:hAnsi="Times New Roman" w:cs="Times New Roman"/>
      <w:sz w:val="20"/>
      <w:szCs w:val="20"/>
    </w:rPr>
  </w:style>
  <w:style w:type="character" w:styleId="EndnoteReference">
    <w:name w:val="endnote reference"/>
    <w:basedOn w:val="DefaultParagraphFont"/>
    <w:rsid w:val="006E72EC"/>
    <w:rPr>
      <w:vertAlign w:val="superscript"/>
    </w:rPr>
  </w:style>
  <w:style w:type="paragraph" w:styleId="ListParagraph">
    <w:name w:val="List Paragraph"/>
    <w:basedOn w:val="Normal"/>
    <w:qFormat/>
    <w:rsid w:val="006E72EC"/>
    <w:pPr>
      <w:ind w:left="720"/>
      <w:contextualSpacing/>
    </w:pPr>
    <w:rPr>
      <w:rFonts w:ascii="Calibri" w:eastAsia="Calibri" w:hAnsi="Calibri" w:cs="Times New Roman"/>
      <w:sz w:val="22"/>
    </w:rPr>
  </w:style>
  <w:style w:type="paragraph" w:styleId="BalloonText">
    <w:name w:val="Balloon Text"/>
    <w:basedOn w:val="Normal"/>
    <w:link w:val="BalloonTextChar"/>
    <w:uiPriority w:val="99"/>
    <w:semiHidden/>
    <w:unhideWhenUsed/>
    <w:rsid w:val="006E72EC"/>
    <w:rPr>
      <w:rFonts w:ascii="Tahoma" w:hAnsi="Tahoma" w:cs="Tahoma"/>
      <w:sz w:val="16"/>
      <w:szCs w:val="16"/>
    </w:rPr>
  </w:style>
  <w:style w:type="character" w:customStyle="1" w:styleId="BalloonTextChar">
    <w:name w:val="Balloon Text Char"/>
    <w:basedOn w:val="DefaultParagraphFont"/>
    <w:link w:val="BalloonText"/>
    <w:uiPriority w:val="99"/>
    <w:semiHidden/>
    <w:rsid w:val="006E72EC"/>
    <w:rPr>
      <w:rFonts w:ascii="Tahoma" w:hAnsi="Tahoma" w:cs="Tahoma"/>
      <w:sz w:val="16"/>
      <w:szCs w:val="16"/>
    </w:rPr>
  </w:style>
  <w:style w:type="character" w:styleId="Hyperlink">
    <w:name w:val="Hyperlink"/>
    <w:basedOn w:val="DefaultParagraphFont"/>
    <w:uiPriority w:val="99"/>
    <w:unhideWhenUsed/>
    <w:rsid w:val="006E72EC"/>
    <w:rPr>
      <w:color w:val="0000FF" w:themeColor="hyperlink"/>
      <w:u w:val="single"/>
    </w:rPr>
  </w:style>
  <w:style w:type="character" w:styleId="CommentReference">
    <w:name w:val="annotation reference"/>
    <w:basedOn w:val="DefaultParagraphFont"/>
    <w:uiPriority w:val="99"/>
    <w:semiHidden/>
    <w:unhideWhenUsed/>
    <w:rsid w:val="00D231B2"/>
    <w:rPr>
      <w:sz w:val="16"/>
      <w:szCs w:val="16"/>
    </w:rPr>
  </w:style>
  <w:style w:type="paragraph" w:styleId="CommentText">
    <w:name w:val="annotation text"/>
    <w:basedOn w:val="Normal"/>
    <w:link w:val="CommentTextChar"/>
    <w:uiPriority w:val="99"/>
    <w:semiHidden/>
    <w:unhideWhenUsed/>
    <w:rsid w:val="00D231B2"/>
    <w:rPr>
      <w:sz w:val="20"/>
      <w:szCs w:val="20"/>
    </w:rPr>
  </w:style>
  <w:style w:type="character" w:customStyle="1" w:styleId="CommentTextChar">
    <w:name w:val="Comment Text Char"/>
    <w:basedOn w:val="DefaultParagraphFont"/>
    <w:link w:val="CommentText"/>
    <w:uiPriority w:val="99"/>
    <w:semiHidden/>
    <w:rsid w:val="00D231B2"/>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D231B2"/>
    <w:rPr>
      <w:b/>
      <w:bCs/>
    </w:rPr>
  </w:style>
  <w:style w:type="character" w:customStyle="1" w:styleId="CommentSubjectChar">
    <w:name w:val="Comment Subject Char"/>
    <w:basedOn w:val="CommentTextChar"/>
    <w:link w:val="CommentSubject"/>
    <w:uiPriority w:val="99"/>
    <w:semiHidden/>
    <w:rsid w:val="00D231B2"/>
    <w:rPr>
      <w:rFonts w:ascii="Times New Roman" w:hAnsi="Times New Roman"/>
      <w:b/>
      <w:bCs/>
      <w:sz w:val="20"/>
      <w:szCs w:val="20"/>
    </w:rPr>
  </w:style>
  <w:style w:type="character" w:styleId="FollowedHyperlink">
    <w:name w:val="FollowedHyperlink"/>
    <w:basedOn w:val="DefaultParagraphFont"/>
    <w:uiPriority w:val="99"/>
    <w:semiHidden/>
    <w:unhideWhenUsed/>
    <w:rsid w:val="000D7C1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0127540">
      <w:bodyDiv w:val="1"/>
      <w:marLeft w:val="0"/>
      <w:marRight w:val="0"/>
      <w:marTop w:val="0"/>
      <w:marBottom w:val="0"/>
      <w:divBdr>
        <w:top w:val="none" w:sz="0" w:space="0" w:color="auto"/>
        <w:left w:val="none" w:sz="0" w:space="0" w:color="auto"/>
        <w:bottom w:val="none" w:sz="0" w:space="0" w:color="auto"/>
        <w:right w:val="none" w:sz="0" w:space="0" w:color="auto"/>
      </w:divBdr>
    </w:div>
    <w:div w:id="961955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unfccc.int/resource/docs/convkp/conveng.pdf" TargetMode="External"/><Relationship Id="rId18" Type="http://schemas.openxmlformats.org/officeDocument/2006/relationships/hyperlink" Target="https://www.nytimes.com/2019/12/28/climate/trump-administration-war-on-science.html" TargetMode="External"/><Relationship Id="rId26" Type="http://schemas.openxmlformats.org/officeDocument/2006/relationships/hyperlink" Target="https://obamawhitehouse.archives.gov/sites/whitehouse.gov/files/documents/nepa_final_ghg_guidance.pdf" TargetMode="External"/><Relationship Id="rId39" Type="http://schemas.openxmlformats.org/officeDocument/2006/relationships/hyperlink" Target="https://quillette.com/2018/10/30/previously-unrecognized-rights-climate-change-lawsuits-and-the-rule-of-law/" TargetMode="External"/><Relationship Id="rId21" Type="http://schemas.openxmlformats.org/officeDocument/2006/relationships/hyperlink" Target="http://columbiaclimatelaw.com/resources/silencing-science-tracker/" TargetMode="External"/><Relationship Id="rId34" Type="http://schemas.openxmlformats.org/officeDocument/2006/relationships/hyperlink" Target="https://casetext.com/case/city-of-ny-v-bp-p-lc" TargetMode="External"/><Relationship Id="rId42" Type="http://schemas.openxmlformats.org/officeDocument/2006/relationships/hyperlink" Target="https://climate.law.columbia.edu/sites/default/files/content/NYZLPR_03.pdf" TargetMode="External"/><Relationship Id="rId47" Type="http://schemas.openxmlformats.org/officeDocument/2006/relationships/hyperlink" Target="https://www.eli.org/sites/default/files/docs/books/deep_decarb_summary_booklet_online.pdf" TargetMode="External"/><Relationship Id="rId50" Type="http://schemas.openxmlformats.org/officeDocument/2006/relationships/hyperlink" Target="http://columbiaclimatelaw.com/files/2016/09/Gerrard-2015-05-Save-Birds-Now-or-Later.pdf" TargetMode="External"/><Relationship Id="rId55" Type="http://schemas.openxmlformats.org/officeDocument/2006/relationships/hyperlink" Target="https://earthjustice.org/sites/default/files/files/Legal-Pathways-Carbon-Neutral-Agriculture.pdf" TargetMode="External"/><Relationship Id="rId63" Type="http://schemas.openxmlformats.org/officeDocument/2006/relationships/hyperlink" Target="https://www.pnas.org/content/106/29/11884" TargetMode="External"/><Relationship Id="rId68" Type="http://schemas.openxmlformats.org/officeDocument/2006/relationships/header" Target="header2.xml"/><Relationship Id="rId7" Type="http://schemas.openxmlformats.org/officeDocument/2006/relationships/footnotes" Target="footnotes.xml"/><Relationship Id="rId71"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science.sciencemag.org/content/365/6451/325.full" TargetMode="External"/><Relationship Id="rId29" Type="http://schemas.openxmlformats.org/officeDocument/2006/relationships/hyperlink" Target="http://blogs2.law.columbia.edu/climate-change-litigation/wp-content/uploads/sites/16/case-documents/2019/20191210_docket-4520442018_decision.pdf" TargetMode="External"/><Relationship Id="rId11" Type="http://schemas.openxmlformats.org/officeDocument/2006/relationships/hyperlink" Target="https://www.nature.com/articles/d41586-019-03595-0" TargetMode="External"/><Relationship Id="rId24" Type="http://schemas.openxmlformats.org/officeDocument/2006/relationships/hyperlink" Target="https://www.epa.gov/sites/production/files/2018-08/documents/ace-cpp_side_by_side.pdf" TargetMode="External"/><Relationship Id="rId32" Type="http://schemas.openxmlformats.org/officeDocument/2006/relationships/hyperlink" Target="https://digitalcommons.law.uw.edu/cgi/viewcontent.cgi?article=1239&amp;context=faculty-articles" TargetMode="External"/><Relationship Id="rId37" Type="http://schemas.openxmlformats.org/officeDocument/2006/relationships/hyperlink" Target="https://www.nature.com/articles/d41586-019-03841-5" TargetMode="External"/><Relationship Id="rId40" Type="http://schemas.openxmlformats.org/officeDocument/2006/relationships/hyperlink" Target="http://srenvironment.org/sites/default/files/Reports/2019/UNGA%20Safe%20Climate%20Report%202019.pdf" TargetMode="External"/><Relationship Id="rId45" Type="http://schemas.openxmlformats.org/officeDocument/2006/relationships/hyperlink" Target="https://legal-planet.org/2018/12/05/were-never-going-to-meet-our-ghg-transportation-goals-until-we-radically-rethink-our-cities/" TargetMode="External"/><Relationship Id="rId53" Type="http://schemas.openxmlformats.org/officeDocument/2006/relationships/hyperlink" Target="https://www.nytimes.com/2018/11/24/climate/coal-global-warming.html" TargetMode="External"/><Relationship Id="rId58" Type="http://schemas.openxmlformats.org/officeDocument/2006/relationships/hyperlink" Target="https://www.propublica.org/article/these-4-arguments-cant-overcome-the-facts-about-carbon-offsets-for-forest-preservation" TargetMode="External"/><Relationship Id="rId66" Type="http://schemas.openxmlformats.org/officeDocument/2006/relationships/hyperlink" Target="https://www.law.uh.edu/faculty/thester/Legal%20Pathways%20to%20Broad%20Use%20of%20NETs%20and%20DAC%20by%20Hester.pdf" TargetMode="External"/><Relationship Id="rId7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wri.org/blog/2019/12/cop25-what-we-needed-what-we-got-whats-next" TargetMode="External"/><Relationship Id="rId23" Type="http://schemas.openxmlformats.org/officeDocument/2006/relationships/hyperlink" Target="https://www.epa.gov/sites/production/files/2018-08/documents/ace_legal_bser.pdf" TargetMode="External"/><Relationship Id="rId28" Type="http://schemas.openxmlformats.org/officeDocument/2006/relationships/hyperlink" Target="https://www.bis.org/review/r151009a.pdf" TargetMode="External"/><Relationship Id="rId36" Type="http://schemas.openxmlformats.org/officeDocument/2006/relationships/hyperlink" Target="http://climatecasechart.com/non-us-case/urgenda-foundation-v-kingdom-of-the-netherlands/" TargetMode="External"/><Relationship Id="rId49" Type="http://schemas.openxmlformats.org/officeDocument/2006/relationships/hyperlink" Target="http://columbiaclimatelaw.com/files/2017/06/Legal-Pathways-for-a-Massive-Increase-in-Utility-Scale-Renewable-Generation-Capacity.pdf" TargetMode="External"/><Relationship Id="rId57" Type="http://schemas.openxmlformats.org/officeDocument/2006/relationships/hyperlink" Target="http://blogs.edf.org/climate411/2019/05/23/what-propublicas-forest-carbon-credits-story-gets-wrong-and-right/" TargetMode="External"/><Relationship Id="rId61" Type="http://schemas.openxmlformats.org/officeDocument/2006/relationships/hyperlink" Target="https://prospect.org/greennewdeal/getting-to-a-carbon-free-economy/" TargetMode="External"/><Relationship Id="rId10" Type="http://schemas.openxmlformats.org/officeDocument/2006/relationships/hyperlink" Target="https://nca2018.globalchange.gov/downloads/NCA4_Report-in-Brief.pdf" TargetMode="External"/><Relationship Id="rId19" Type="http://schemas.openxmlformats.org/officeDocument/2006/relationships/hyperlink" Target="https://www.cjr.org/first_person/climate_change_department_of_justice.php" TargetMode="External"/><Relationship Id="rId31" Type="http://schemas.openxmlformats.org/officeDocument/2006/relationships/hyperlink" Target="https://www.cadc.uscourts.gov/internet/opinions.nsf/27B0BE9562811E2485257B2100550BFF/$file/11-5219.pdf" TargetMode="External"/><Relationship Id="rId44" Type="http://schemas.openxmlformats.org/officeDocument/2006/relationships/hyperlink" Target="http://ethanallen.org/wp-content/uploads/2019/12/TCI-Opposition-Letter.pdf" TargetMode="External"/><Relationship Id="rId52" Type="http://schemas.openxmlformats.org/officeDocument/2006/relationships/hyperlink" Target="https://www.sei.org/wp-content/uploads/2019/02/principles-for-aligning-fossil-fuel-extraction-w-climate-limits.pdf" TargetMode="External"/><Relationship Id="rId60" Type="http://schemas.openxmlformats.org/officeDocument/2006/relationships/hyperlink" Target="https://thebreakthrough.org/issues/energy/3c-world" TargetMode="External"/><Relationship Id="rId65" Type="http://schemas.openxmlformats.org/officeDocument/2006/relationships/hyperlink" Target="https://science.sciencemag.org/content/365/6455/761" TargetMode="External"/><Relationship Id="rId73"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aa3547@columbia.edu" TargetMode="External"/><Relationship Id="rId14" Type="http://schemas.openxmlformats.org/officeDocument/2006/relationships/hyperlink" Target="https://www.state.gov/united-states-national-statement-at-unfccc-cop25/" TargetMode="External"/><Relationship Id="rId22" Type="http://schemas.openxmlformats.org/officeDocument/2006/relationships/hyperlink" Target="https://www.epa.gov/sites/production/files/2018-08/documents/ace_overview_0.pdf" TargetMode="External"/><Relationship Id="rId27" Type="http://schemas.openxmlformats.org/officeDocument/2006/relationships/hyperlink" Target="http://climatecasechart.com/case/in-re-florida-southeast-connection-llc/" TargetMode="External"/><Relationship Id="rId30" Type="http://schemas.openxmlformats.org/officeDocument/2006/relationships/hyperlink" Target="http://securities.stanford.edu/filings-documents/1059/EMC00_02/2018814_r01x_16CV03111.pdf" TargetMode="External"/><Relationship Id="rId35" Type="http://schemas.openxmlformats.org/officeDocument/2006/relationships/hyperlink" Target="http://cdn.ca9.uscourts.gov/datastore/opinions/2020/01/17/18-36082.pdf" TargetMode="External"/><Relationship Id="rId43" Type="http://schemas.openxmlformats.org/officeDocument/2006/relationships/hyperlink" Target="https://blog.ucsusa.org/daniel-gatti/the-transportation-and-climate-initiative-explained" TargetMode="External"/><Relationship Id="rId48" Type="http://schemas.openxmlformats.org/officeDocument/2006/relationships/hyperlink" Target="https://academic.oup.com/reep/article/11/2/319/3964517" TargetMode="External"/><Relationship Id="rId56" Type="http://schemas.openxmlformats.org/officeDocument/2006/relationships/hyperlink" Target="https://features.propublica.org/brazil-carbon-offsets/inconvenient-truth-carbon-credits-dont-work-deforestation-redd-acre-cambodia/" TargetMode="External"/><Relationship Id="rId64" Type="http://schemas.openxmlformats.org/officeDocument/2006/relationships/hyperlink" Target="https://qz.com/india/1669182/indias-coal-power-plants-arent-an-excuse-for-climate-inaction/" TargetMode="External"/><Relationship Id="rId69"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hyperlink" Target="https://www.nytimes.com/2005/12/16/opinion/an-ill-wind-off-cape-cod.html" TargetMode="External"/><Relationship Id="rId72" Type="http://schemas.openxmlformats.org/officeDocument/2006/relationships/footer" Target="footer3.xml"/><Relationship Id="rId3" Type="http://schemas.openxmlformats.org/officeDocument/2006/relationships/styles" Target="styles.xml"/><Relationship Id="rId12" Type="http://schemas.openxmlformats.org/officeDocument/2006/relationships/hyperlink" Target="https://digitalcommons.law.scu.edu/cgi/viewcontent.cgi?article=1770&amp;context=facpubs" TargetMode="External"/><Relationship Id="rId17" Type="http://schemas.openxmlformats.org/officeDocument/2006/relationships/hyperlink" Target="https://www.nytimes.com/2017/06/03/us/politics/republican-leaders-climate-change.html" TargetMode="External"/><Relationship Id="rId25" Type="http://schemas.openxmlformats.org/officeDocument/2006/relationships/hyperlink" Target="https://eelp.law.harvard.edu/2018/10/legal-analysis-of-the-proposals-to-repeal-and-replace-the-clean-power-plan/" TargetMode="External"/><Relationship Id="rId33" Type="http://schemas.openxmlformats.org/officeDocument/2006/relationships/hyperlink" Target="http://blogs2.law.columbia.edu/climate-change-litigation/wp-content/uploads/sites/16/case-documents/2012/20120921_docket-09-17490_opinion.pdf" TargetMode="External"/><Relationship Id="rId38" Type="http://schemas.openxmlformats.org/officeDocument/2006/relationships/hyperlink" Target="https://thehill.com/opinion/energy-environment/415307-the-childrens-climate-case-our-obligation-to-future-generations" TargetMode="External"/><Relationship Id="rId46" Type="http://schemas.openxmlformats.org/officeDocument/2006/relationships/hyperlink" Target="https://www.eba-net.org/assets/1/6/16-313-352-Dernbach%5bFINAL%5d.pdf" TargetMode="External"/><Relationship Id="rId59" Type="http://schemas.openxmlformats.org/officeDocument/2006/relationships/hyperlink" Target="https://pdfs.semanticscholar.org/fee4/ab9b939924c38547feb5c366d5c99c70762e.pdf" TargetMode="External"/><Relationship Id="rId67" Type="http://schemas.openxmlformats.org/officeDocument/2006/relationships/header" Target="header1.xml"/><Relationship Id="rId20" Type="http://schemas.openxmlformats.org/officeDocument/2006/relationships/hyperlink" Target="https://www.nature.com/articles/d41586-019-02736-9" TargetMode="External"/><Relationship Id="rId41" Type="http://schemas.openxmlformats.org/officeDocument/2006/relationships/hyperlink" Target="http://blogs2.law.columbia.edu/climate-change-litigation/wp-content/uploads/sites/16/non-us-case-documents/2015/20150720_2015-NZSC-107_judgment-1.pdf" TargetMode="External"/><Relationship Id="rId54" Type="http://schemas.openxmlformats.org/officeDocument/2006/relationships/hyperlink" Target="https://www.wri.org/blog/2019/08/7-things-know-about-ipcc-special-report-land-and-climate" TargetMode="External"/><Relationship Id="rId62" Type="http://schemas.openxmlformats.org/officeDocument/2006/relationships/hyperlink" Target="http://www.opalpdx.org/2019/04/hb2020/" TargetMode="External"/><Relationship Id="rId7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0B7470-6EF4-40C4-910F-5BDBBC4877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14</Pages>
  <Words>5072</Words>
  <Characters>28914</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Registered User</Company>
  <LinksUpToDate>false</LinksUpToDate>
  <CharactersWithSpaces>33919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Registered User</dc:creator>
  <cp:lastModifiedBy>Michael Gerrard</cp:lastModifiedBy>
  <cp:revision>9</cp:revision>
  <cp:lastPrinted>2020-02-02T12:12:00Z</cp:lastPrinted>
  <dcterms:created xsi:type="dcterms:W3CDTF">2020-01-12T11:46:00Z</dcterms:created>
  <dcterms:modified xsi:type="dcterms:W3CDTF">2020-02-02T12:36:00Z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D">
    <vt:lpwstr>74654290v2</vt:lpwstr>
  </property>
  <property fmtid="{D5CDD505-2E9C-101B-9397-08002B2CF9AE}" pid="4" name="_NewReviewCycle">
    <vt:lpwstr/>
  </property>
</Properties>
</file>